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92B" w:rsidRPr="00EE792B" w:rsidRDefault="00EE792B" w:rsidP="00EE792B">
      <w:pPr>
        <w:spacing w:after="0" w:line="240" w:lineRule="auto"/>
        <w:ind w:left="2835" w:right="1134" w:hanging="1134"/>
        <w:jc w:val="both"/>
        <w:rPr>
          <w:rFonts w:ascii="Tahoma" w:eastAsia="Times New Roman" w:hAnsi="Tahoma" w:cs="Tahoma"/>
          <w:i/>
          <w:sz w:val="18"/>
          <w:szCs w:val="18"/>
          <w:lang w:val="es-ES" w:eastAsia="es-ES"/>
        </w:rPr>
      </w:pPr>
      <w:r w:rsidRPr="00EE792B">
        <w:rPr>
          <w:rFonts w:ascii="Tahoma" w:eastAsia="Times New Roman" w:hAnsi="Tahoma" w:cs="Tahoma"/>
          <w:b/>
          <w:sz w:val="20"/>
          <w:szCs w:val="20"/>
          <w:lang w:val="es-ES" w:eastAsia="es-ES"/>
        </w:rPr>
        <w:t xml:space="preserve">Sumilla   </w:t>
      </w:r>
      <w:r w:rsidRPr="00EE792B">
        <w:rPr>
          <w:rFonts w:ascii="Tahoma" w:eastAsia="Times New Roman" w:hAnsi="Tahoma" w:cs="Tahoma"/>
          <w:b/>
          <w:sz w:val="18"/>
          <w:szCs w:val="18"/>
          <w:lang w:val="es-ES" w:eastAsia="es-ES"/>
        </w:rPr>
        <w:t>:</w:t>
      </w:r>
      <w:r w:rsidRPr="00EE792B">
        <w:rPr>
          <w:rFonts w:ascii="Tahoma" w:eastAsia="Times New Roman" w:hAnsi="Tahoma" w:cs="Tahoma"/>
          <w:i/>
          <w:sz w:val="18"/>
          <w:szCs w:val="18"/>
          <w:lang w:val="es-ES" w:eastAsia="es-ES"/>
        </w:rPr>
        <w:tab/>
        <w:t>“</w:t>
      </w:r>
      <w:r w:rsidR="00746966" w:rsidRPr="00746966">
        <w:rPr>
          <w:rFonts w:ascii="Times New Roman" w:eastAsia="Times New Roman" w:hAnsi="Times New Roman" w:cs="Times New Roman"/>
          <w:i/>
          <w:sz w:val="20"/>
          <w:szCs w:val="20"/>
          <w:lang w:eastAsia="es-ES"/>
        </w:rPr>
        <w:t>E</w:t>
      </w:r>
      <w:r w:rsidR="00746966" w:rsidRPr="00EE792B">
        <w:rPr>
          <w:rFonts w:ascii="Times New Roman" w:eastAsia="Times New Roman" w:hAnsi="Times New Roman" w:cs="Times New Roman"/>
          <w:i/>
          <w:sz w:val="20"/>
          <w:szCs w:val="20"/>
          <w:lang w:eastAsia="es-ES"/>
        </w:rPr>
        <w:t xml:space="preserve">ste Colegiado considera que la Entidad debió tener en cuenta la Declaración Jurada de </w:t>
      </w:r>
      <w:r w:rsidR="00746966" w:rsidRPr="00EE792B">
        <w:rPr>
          <w:rFonts w:ascii="Times New Roman" w:eastAsia="Times New Roman" w:hAnsi="Times New Roman" w:cs="Times New Roman"/>
          <w:i/>
          <w:sz w:val="20"/>
          <w:szCs w:val="20"/>
          <w:lang w:val="es-ES" w:eastAsia="es-ES"/>
        </w:rPr>
        <w:t>de Ofertar un mismo Lote por año</w:t>
      </w:r>
      <w:r w:rsidR="00746966" w:rsidRPr="00EE792B">
        <w:rPr>
          <w:rFonts w:ascii="Times New Roman" w:eastAsia="Times New Roman" w:hAnsi="Times New Roman" w:cs="Times New Roman"/>
          <w:i/>
          <w:sz w:val="20"/>
          <w:szCs w:val="20"/>
          <w:lang w:eastAsia="es-ES"/>
        </w:rPr>
        <w:t xml:space="preserve">, la cual se encuentra en el </w:t>
      </w:r>
      <w:r w:rsidR="00746966" w:rsidRPr="00EE792B">
        <w:rPr>
          <w:rFonts w:ascii="Times New Roman" w:eastAsia="Times New Roman" w:hAnsi="Times New Roman" w:cs="Times New Roman"/>
          <w:i/>
          <w:sz w:val="20"/>
          <w:szCs w:val="20"/>
          <w:lang w:val="es-ES" w:eastAsia="es-ES"/>
        </w:rPr>
        <w:t>folio 425 de los antecedentes remitidos por la Entidad</w:t>
      </w:r>
      <w:r w:rsidR="00746966" w:rsidRPr="00EE792B">
        <w:rPr>
          <w:rFonts w:ascii="Times New Roman" w:eastAsia="Times New Roman" w:hAnsi="Times New Roman" w:cs="Times New Roman"/>
          <w:i/>
          <w:sz w:val="20"/>
          <w:szCs w:val="20"/>
          <w:lang w:eastAsia="es-ES"/>
        </w:rPr>
        <w:t>, para efectos de evaluación en el factor de calidad de los reactivos ofertados</w:t>
      </w:r>
      <w:r w:rsidRPr="00EE792B">
        <w:rPr>
          <w:rFonts w:ascii="Tahoma" w:eastAsia="Times New Roman" w:hAnsi="Tahoma" w:cs="Tahoma"/>
          <w:i/>
          <w:sz w:val="18"/>
          <w:szCs w:val="18"/>
          <w:lang w:val="es-ES" w:eastAsia="es-ES"/>
        </w:rPr>
        <w:t>”.</w:t>
      </w:r>
    </w:p>
    <w:p w:rsidR="00EE792B" w:rsidRPr="00EE792B" w:rsidRDefault="00EE792B" w:rsidP="00C507D2">
      <w:pPr>
        <w:spacing w:after="0" w:line="240" w:lineRule="auto"/>
        <w:rPr>
          <w:rFonts w:ascii="Tahoma" w:eastAsia="Batang" w:hAnsi="Tahoma" w:cs="Tahoma"/>
          <w:b/>
          <w:color w:val="FFFFFF"/>
          <w:sz w:val="20"/>
          <w:szCs w:val="20"/>
          <w:lang w:eastAsia="es-ES"/>
        </w:rPr>
      </w:pPr>
      <w:r w:rsidRPr="00EE792B">
        <w:rPr>
          <w:rFonts w:ascii="Tahoma" w:eastAsia="Batang" w:hAnsi="Tahoma" w:cs="Tahoma"/>
          <w:b/>
          <w:color w:val="FFFFFF"/>
          <w:sz w:val="20"/>
          <w:szCs w:val="20"/>
          <w:lang w:eastAsia="es-ES"/>
        </w:rPr>
        <w:t xml:space="preserve">Lima, 05 de mayo de 2010   </w:t>
      </w:r>
    </w:p>
    <w:p w:rsidR="00EE792B" w:rsidRPr="00EE792B" w:rsidRDefault="00EE792B" w:rsidP="00EE792B">
      <w:pPr>
        <w:spacing w:after="0" w:line="240" w:lineRule="auto"/>
        <w:jc w:val="right"/>
        <w:rPr>
          <w:rFonts w:ascii="Tahoma" w:eastAsia="Batang" w:hAnsi="Tahoma" w:cs="Tahoma"/>
          <w:sz w:val="20"/>
          <w:szCs w:val="20"/>
          <w:lang w:val="es-ES" w:eastAsia="es-ES"/>
        </w:rPr>
      </w:pPr>
    </w:p>
    <w:p w:rsidR="00EE792B" w:rsidRPr="00EE792B" w:rsidRDefault="00C507D2" w:rsidP="00EE792B">
      <w:pPr>
        <w:spacing w:after="0" w:line="240" w:lineRule="auto"/>
        <w:rPr>
          <w:rFonts w:ascii="Tahoma" w:eastAsia="Batang" w:hAnsi="Tahoma" w:cs="Tahoma"/>
          <w:sz w:val="20"/>
          <w:szCs w:val="20"/>
          <w:lang w:val="es-ES" w:eastAsia="es-ES"/>
        </w:rPr>
      </w:pPr>
      <w:r>
        <w:rPr>
          <w:rFonts w:ascii="Tahoma" w:eastAsia="Batang" w:hAnsi="Tahoma" w:cs="Tahoma"/>
          <w:sz w:val="20"/>
          <w:szCs w:val="20"/>
          <w:lang w:val="es-ES" w:eastAsia="es-ES"/>
        </w:rPr>
        <w:tab/>
      </w:r>
      <w:r>
        <w:rPr>
          <w:rFonts w:ascii="Tahoma" w:eastAsia="Batang" w:hAnsi="Tahoma" w:cs="Tahoma"/>
          <w:sz w:val="20"/>
          <w:szCs w:val="20"/>
          <w:lang w:val="es-ES" w:eastAsia="es-ES"/>
        </w:rPr>
        <w:tab/>
      </w:r>
      <w:r>
        <w:rPr>
          <w:rFonts w:ascii="Tahoma" w:eastAsia="Batang" w:hAnsi="Tahoma" w:cs="Tahoma"/>
          <w:sz w:val="20"/>
          <w:szCs w:val="20"/>
          <w:lang w:val="es-ES" w:eastAsia="es-ES"/>
        </w:rPr>
        <w:tab/>
      </w:r>
      <w:r>
        <w:rPr>
          <w:rFonts w:ascii="Tahoma" w:eastAsia="Batang" w:hAnsi="Tahoma" w:cs="Tahoma"/>
          <w:sz w:val="20"/>
          <w:szCs w:val="20"/>
          <w:lang w:val="es-ES" w:eastAsia="es-ES"/>
        </w:rPr>
        <w:tab/>
      </w:r>
      <w:r>
        <w:rPr>
          <w:rFonts w:ascii="Tahoma" w:eastAsia="Batang" w:hAnsi="Tahoma" w:cs="Tahoma"/>
          <w:sz w:val="20"/>
          <w:szCs w:val="20"/>
          <w:lang w:val="es-ES" w:eastAsia="es-ES"/>
        </w:rPr>
        <w:tab/>
      </w:r>
      <w:r>
        <w:rPr>
          <w:rFonts w:ascii="Tahoma" w:eastAsia="Batang" w:hAnsi="Tahoma" w:cs="Tahoma"/>
          <w:sz w:val="20"/>
          <w:szCs w:val="20"/>
          <w:lang w:val="es-ES" w:eastAsia="es-ES"/>
        </w:rPr>
        <w:tab/>
      </w:r>
      <w:r>
        <w:rPr>
          <w:rFonts w:ascii="Tahoma" w:eastAsia="Batang" w:hAnsi="Tahoma" w:cs="Tahoma"/>
          <w:sz w:val="20"/>
          <w:szCs w:val="20"/>
          <w:lang w:val="es-ES" w:eastAsia="es-ES"/>
        </w:rPr>
        <w:tab/>
        <w:t>Lima, 14 de Septiembre de 2011</w:t>
      </w:r>
    </w:p>
    <w:p w:rsidR="00EE792B" w:rsidRPr="00EE792B" w:rsidRDefault="00EE792B" w:rsidP="00EE792B">
      <w:pPr>
        <w:spacing w:after="0" w:line="240" w:lineRule="auto"/>
        <w:rPr>
          <w:rFonts w:ascii="Tahoma" w:eastAsia="Batang" w:hAnsi="Tahoma" w:cs="Tahoma"/>
          <w:sz w:val="21"/>
          <w:szCs w:val="21"/>
          <w:lang w:val="es-ES" w:eastAsia="es-ES"/>
        </w:rPr>
      </w:pPr>
    </w:p>
    <w:p w:rsidR="00EE792B" w:rsidRPr="00EE792B" w:rsidRDefault="00EE792B" w:rsidP="00EE792B">
      <w:pPr>
        <w:tabs>
          <w:tab w:val="left" w:pos="0"/>
          <w:tab w:val="left" w:pos="1287"/>
        </w:tabs>
        <w:autoSpaceDE w:val="0"/>
        <w:autoSpaceDN w:val="0"/>
        <w:adjustRightInd w:val="0"/>
        <w:spacing w:after="0" w:line="240" w:lineRule="auto"/>
        <w:jc w:val="both"/>
        <w:rPr>
          <w:rFonts w:ascii="Tahoma" w:eastAsia="Times New Roman" w:hAnsi="Tahoma" w:cs="Tahoma"/>
          <w:sz w:val="21"/>
          <w:szCs w:val="21"/>
          <w:lang w:val="es-ES" w:eastAsia="es-ES"/>
        </w:rPr>
      </w:pPr>
      <w:r w:rsidRPr="00EE792B">
        <w:rPr>
          <w:rFonts w:ascii="Tahoma" w:eastAsia="Times New Roman" w:hAnsi="Tahoma" w:cs="Tahoma"/>
          <w:b/>
          <w:sz w:val="21"/>
          <w:szCs w:val="21"/>
          <w:lang w:val="es-ES" w:eastAsia="es-ES"/>
        </w:rPr>
        <w:t>Visto</w:t>
      </w:r>
      <w:r w:rsidRPr="00EE792B">
        <w:rPr>
          <w:rFonts w:ascii="Tahoma" w:eastAsia="Times New Roman" w:hAnsi="Tahoma" w:cs="Tahoma"/>
          <w:sz w:val="21"/>
          <w:szCs w:val="21"/>
          <w:lang w:val="es-ES" w:eastAsia="es-ES"/>
        </w:rPr>
        <w:t xml:space="preserve"> en sesión de fecha 14 de Septiembre de 2011 de la Primera Sala del Tribunal de Contrataciones del Estado, el Expediente N° 1025.2011.TC sobre el Recurso de Apelación interpuesto por el postor </w:t>
      </w:r>
      <w:r w:rsidRPr="00EE792B">
        <w:rPr>
          <w:rFonts w:ascii="Tahoma" w:hAnsi="Tahoma" w:cs="Tahoma"/>
          <w:sz w:val="21"/>
          <w:szCs w:val="21"/>
        </w:rPr>
        <w:t xml:space="preserve">por la empresa </w:t>
      </w:r>
      <w:r w:rsidRPr="00EE792B">
        <w:rPr>
          <w:rFonts w:ascii="Tahoma" w:hAnsi="Tahoma" w:cs="Tahoma"/>
          <w:b/>
          <w:sz w:val="21"/>
          <w:szCs w:val="21"/>
        </w:rPr>
        <w:t>C &amp; E LABDEALERS SOCIEDAD ANÓNIMA</w:t>
      </w:r>
      <w:r w:rsidRPr="00EE792B">
        <w:rPr>
          <w:rFonts w:ascii="Tahoma" w:hAnsi="Tahoma" w:cs="Tahoma"/>
          <w:sz w:val="21"/>
          <w:szCs w:val="21"/>
        </w:rPr>
        <w:t>.</w:t>
      </w:r>
      <w:r w:rsidRPr="00EE792B">
        <w:rPr>
          <w:rFonts w:ascii="Tahoma" w:eastAsia="Times New Roman" w:hAnsi="Tahoma" w:cs="Tahoma"/>
          <w:b/>
          <w:sz w:val="21"/>
          <w:szCs w:val="21"/>
          <w:lang w:val="es-ES" w:eastAsia="es-ES"/>
        </w:rPr>
        <w:t xml:space="preserve">, </w:t>
      </w:r>
      <w:r w:rsidRPr="00EE792B">
        <w:rPr>
          <w:rFonts w:ascii="Tahoma" w:hAnsi="Tahoma" w:cs="Tahoma"/>
          <w:sz w:val="21"/>
          <w:szCs w:val="21"/>
        </w:rPr>
        <w:t>contra la calificación de su propuesta técnica y el otorgamiento de la buena pro, respecto del Ítem Nº 08 de la Licitación Pública Nº 001-2011-INEN, convocado por el INSTITUTO NACIONAL DE ENFERMEDADES NEOPLASICAS - INEN, para la “Adquisición de reactivos para Laboratorio Clínico”</w:t>
      </w:r>
      <w:r w:rsidRPr="00EE792B">
        <w:rPr>
          <w:rFonts w:ascii="Tahoma" w:eastAsia="Times New Roman" w:hAnsi="Tahoma" w:cs="Tahoma"/>
          <w:sz w:val="21"/>
          <w:szCs w:val="21"/>
          <w:lang w:val="es-ES" w:eastAsia="es-ES"/>
        </w:rPr>
        <w:t xml:space="preserve">; efectuado los informes orales, y atendiendo a los siguientes:   </w:t>
      </w:r>
    </w:p>
    <w:p w:rsidR="00EE792B" w:rsidRPr="00EE792B" w:rsidRDefault="00EE792B" w:rsidP="00EE792B">
      <w:pPr>
        <w:spacing w:after="0" w:line="240" w:lineRule="auto"/>
        <w:rPr>
          <w:rFonts w:ascii="Tahoma" w:eastAsia="Times New Roman" w:hAnsi="Tahoma" w:cs="Tahoma"/>
          <w:b/>
          <w:sz w:val="21"/>
          <w:szCs w:val="21"/>
          <w:lang w:val="es-ES" w:eastAsia="es-ES"/>
        </w:rPr>
      </w:pPr>
    </w:p>
    <w:p w:rsidR="00EE792B" w:rsidRPr="00EE792B" w:rsidRDefault="00EE792B" w:rsidP="00EE792B">
      <w:pPr>
        <w:spacing w:after="0" w:line="240" w:lineRule="auto"/>
        <w:ind w:firstLine="708"/>
        <w:rPr>
          <w:rFonts w:ascii="Tahoma" w:eastAsia="Times New Roman" w:hAnsi="Tahoma" w:cs="Tahoma"/>
          <w:b/>
          <w:sz w:val="21"/>
          <w:szCs w:val="21"/>
          <w:lang w:val="es-ES" w:eastAsia="es-ES"/>
        </w:rPr>
      </w:pPr>
      <w:r w:rsidRPr="00EE792B">
        <w:rPr>
          <w:rFonts w:ascii="Tahoma" w:eastAsia="Times New Roman" w:hAnsi="Tahoma" w:cs="Tahoma"/>
          <w:b/>
          <w:sz w:val="21"/>
          <w:szCs w:val="21"/>
          <w:lang w:val="es-ES" w:eastAsia="es-ES"/>
        </w:rPr>
        <w:t>ANTECEDENTES:</w:t>
      </w:r>
    </w:p>
    <w:p w:rsidR="00EE792B" w:rsidRPr="00EE792B" w:rsidRDefault="00EE792B" w:rsidP="00EE792B">
      <w:pPr>
        <w:spacing w:after="0" w:line="240" w:lineRule="auto"/>
        <w:ind w:firstLine="708"/>
        <w:rPr>
          <w:rFonts w:ascii="Tahoma" w:eastAsia="Times New Roman" w:hAnsi="Tahoma" w:cs="Tahoma"/>
          <w:b/>
          <w:sz w:val="21"/>
          <w:szCs w:val="21"/>
          <w:lang w:val="es-ES" w:eastAsia="es-ES"/>
        </w:rPr>
      </w:pPr>
    </w:p>
    <w:p w:rsidR="00EE792B" w:rsidRPr="00EE792B" w:rsidRDefault="00EE792B" w:rsidP="00EE792B">
      <w:pPr>
        <w:numPr>
          <w:ilvl w:val="0"/>
          <w:numId w:val="2"/>
        </w:numPr>
        <w:suppressAutoHyphens/>
        <w:spacing w:after="0" w:line="240" w:lineRule="auto"/>
        <w:ind w:left="567" w:hanging="567"/>
        <w:jc w:val="both"/>
        <w:rPr>
          <w:rFonts w:ascii="Tahoma" w:eastAsia="MS Mincho" w:hAnsi="Tahoma" w:cs="Tahoma"/>
          <w:sz w:val="21"/>
          <w:szCs w:val="21"/>
          <w:lang w:val="es-ES" w:eastAsia="es-ES"/>
        </w:rPr>
      </w:pPr>
      <w:r w:rsidRPr="00EE792B">
        <w:rPr>
          <w:rFonts w:ascii="Tahoma" w:eastAsia="Times New Roman" w:hAnsi="Tahoma" w:cs="Tahoma"/>
          <w:sz w:val="21"/>
          <w:szCs w:val="21"/>
          <w:lang w:val="es-ES" w:eastAsia="es-ES"/>
        </w:rPr>
        <w:t>El 11 de Abril del 2011, el INSTITUTO NACIONAL DE ENFERMEDADES NEOPLASICAS - INEN, en lo sucesivo La Entidad, convocó la Licitación Pública Nº 001-2011-INEN</w:t>
      </w:r>
      <w:r w:rsidRPr="00EE792B">
        <w:rPr>
          <w:rFonts w:ascii="Tahoma" w:eastAsia="MS Mincho" w:hAnsi="Tahoma" w:cs="Tahoma"/>
          <w:sz w:val="21"/>
          <w:szCs w:val="21"/>
          <w:lang w:val="es-ES" w:eastAsia="es-ES"/>
        </w:rPr>
        <w:t xml:space="preserve"> (Primera Convocatoria), por relación de Ítems </w:t>
      </w:r>
      <w:r w:rsidRPr="00EE792B">
        <w:rPr>
          <w:rFonts w:ascii="Tahoma" w:eastAsia="Times New Roman" w:hAnsi="Tahoma" w:cs="Tahoma"/>
          <w:sz w:val="21"/>
          <w:szCs w:val="21"/>
          <w:lang w:val="es-ES" w:eastAsia="es-ES"/>
        </w:rPr>
        <w:t>para la “Adquisición de Reactivos para Laboratorio Clínico”, por un valor referencial ascendente a</w:t>
      </w:r>
      <w:r w:rsidRPr="00EE792B">
        <w:rPr>
          <w:rFonts w:ascii="Tahoma" w:eastAsia="MS Mincho" w:hAnsi="Tahoma" w:cs="Tahoma"/>
          <w:sz w:val="21"/>
          <w:szCs w:val="21"/>
          <w:lang w:val="es-ES" w:eastAsia="es-ES"/>
        </w:rPr>
        <w:t xml:space="preserve"> S/.</w:t>
      </w:r>
      <w:r w:rsidRPr="00EE792B">
        <w:rPr>
          <w:rFonts w:ascii="Tahoma" w:eastAsia="Times New Roman" w:hAnsi="Tahoma" w:cs="Tahoma"/>
          <w:sz w:val="21"/>
          <w:szCs w:val="21"/>
          <w:lang w:val="es-ES" w:eastAsia="es-ES"/>
        </w:rPr>
        <w:t xml:space="preserve"> 4`355,443.86(Cuatro millones, trescientos cincuenta y cinco mil, cuatrocientos cuarenta y tres con 86/100 nuevos soles).</w:t>
      </w:r>
    </w:p>
    <w:p w:rsidR="00EE792B" w:rsidRPr="00EE792B" w:rsidRDefault="00EE792B" w:rsidP="00EE792B">
      <w:pPr>
        <w:suppressAutoHyphens/>
        <w:spacing w:after="0" w:line="240" w:lineRule="auto"/>
        <w:ind w:left="567" w:hanging="567"/>
        <w:jc w:val="both"/>
        <w:rPr>
          <w:rFonts w:ascii="Tahoma" w:eastAsia="MS Mincho" w:hAnsi="Tahoma" w:cs="Tahoma"/>
          <w:sz w:val="21"/>
          <w:szCs w:val="21"/>
          <w:lang w:val="es-ES" w:eastAsia="es-ES"/>
        </w:rPr>
      </w:pPr>
    </w:p>
    <w:p w:rsidR="00EE792B" w:rsidRPr="00EE792B" w:rsidRDefault="00EE792B" w:rsidP="00EE792B">
      <w:pPr>
        <w:numPr>
          <w:ilvl w:val="0"/>
          <w:numId w:val="2"/>
        </w:numPr>
        <w:spacing w:after="0" w:line="240" w:lineRule="auto"/>
        <w:ind w:left="567" w:hanging="567"/>
        <w:jc w:val="both"/>
        <w:rPr>
          <w:rFonts w:ascii="Tahoma" w:eastAsia="Times New Roman" w:hAnsi="Tahoma" w:cs="Tahoma"/>
          <w:sz w:val="21"/>
          <w:szCs w:val="21"/>
          <w:lang w:val="es-ES" w:eastAsia="es-ES"/>
        </w:rPr>
      </w:pPr>
      <w:r w:rsidRPr="00EE792B">
        <w:rPr>
          <w:rFonts w:ascii="Tahoma" w:eastAsia="Times New Roman" w:hAnsi="Tahoma" w:cs="Tahoma"/>
          <w:sz w:val="21"/>
          <w:szCs w:val="21"/>
          <w:lang w:val="es-ES" w:eastAsia="es-ES"/>
        </w:rPr>
        <w:t xml:space="preserve">El 27 de Junio de 2011, se integraron las bases. </w:t>
      </w:r>
    </w:p>
    <w:p w:rsidR="00EE792B" w:rsidRPr="00EE792B" w:rsidRDefault="00EE792B" w:rsidP="00EE792B">
      <w:pPr>
        <w:spacing w:after="0" w:line="240" w:lineRule="auto"/>
        <w:ind w:left="567" w:hanging="567"/>
        <w:rPr>
          <w:rFonts w:ascii="Tahoma" w:eastAsia="Times New Roman" w:hAnsi="Tahoma" w:cs="Tahoma"/>
          <w:sz w:val="21"/>
          <w:szCs w:val="21"/>
          <w:lang w:val="es-ES" w:eastAsia="es-ES"/>
        </w:rPr>
      </w:pPr>
    </w:p>
    <w:p w:rsidR="00EE792B" w:rsidRPr="00EE792B" w:rsidRDefault="00EE792B" w:rsidP="00EE792B">
      <w:pPr>
        <w:numPr>
          <w:ilvl w:val="0"/>
          <w:numId w:val="2"/>
        </w:numPr>
        <w:spacing w:after="0" w:line="240" w:lineRule="auto"/>
        <w:ind w:left="567" w:hanging="567"/>
        <w:jc w:val="both"/>
        <w:rPr>
          <w:rFonts w:ascii="Tahoma" w:eastAsia="Times New Roman" w:hAnsi="Tahoma" w:cs="Tahoma"/>
          <w:sz w:val="21"/>
          <w:szCs w:val="21"/>
          <w:lang w:val="es-ES" w:eastAsia="es-ES"/>
        </w:rPr>
      </w:pPr>
      <w:r w:rsidRPr="00EE792B">
        <w:rPr>
          <w:rFonts w:ascii="Tahoma" w:eastAsia="Times New Roman" w:hAnsi="Tahoma" w:cs="Tahoma"/>
          <w:sz w:val="21"/>
          <w:szCs w:val="21"/>
          <w:lang w:val="es-ES" w:eastAsia="es-ES"/>
        </w:rPr>
        <w:t>El 05 de Julio de 2011, se llevó a cabo el acto público mediante el cual  presentaron las propuestas técnicas para el Ítem Nro 08 (Coagulación) cuyo valor referencial asciende a S./</w:t>
      </w:r>
      <w:r w:rsidRPr="00EE792B">
        <w:rPr>
          <w:rFonts w:ascii="Tahoma" w:eastAsia="Times New Roman" w:hAnsi="Tahoma" w:cs="Tahoma"/>
          <w:bCs/>
          <w:sz w:val="21"/>
          <w:szCs w:val="21"/>
          <w:lang w:val="es-ES" w:eastAsia="es-ES"/>
        </w:rPr>
        <w:t xml:space="preserve">862,689.08 </w:t>
      </w:r>
      <w:r w:rsidRPr="00EE792B">
        <w:rPr>
          <w:rFonts w:ascii="Tahoma" w:eastAsia="Times New Roman" w:hAnsi="Tahoma" w:cs="Tahoma"/>
          <w:sz w:val="21"/>
          <w:szCs w:val="21"/>
          <w:lang w:val="es-ES" w:eastAsia="es-ES"/>
        </w:rPr>
        <w:t>(Ochocientos Sesenta y Dos Mil Seiscientos Ochenta y Nueve Nuevos Soles con Ocho Céntimos</w:t>
      </w:r>
      <w:r w:rsidRPr="00EE792B">
        <w:rPr>
          <w:rFonts w:ascii="Tahoma" w:eastAsia="Times New Roman" w:hAnsi="Tahoma" w:cs="Tahoma"/>
          <w:bCs/>
          <w:sz w:val="21"/>
          <w:szCs w:val="21"/>
          <w:lang w:val="es-ES" w:eastAsia="es-ES"/>
        </w:rPr>
        <w:t>).</w:t>
      </w:r>
    </w:p>
    <w:p w:rsidR="00EE792B" w:rsidRPr="00EE792B" w:rsidRDefault="00EE792B" w:rsidP="00EE792B">
      <w:pPr>
        <w:spacing w:after="0" w:line="240" w:lineRule="auto"/>
        <w:ind w:left="567" w:hanging="567"/>
        <w:rPr>
          <w:rFonts w:ascii="Tahoma" w:eastAsia="Times New Roman" w:hAnsi="Tahoma" w:cs="Tahoma"/>
          <w:sz w:val="21"/>
          <w:szCs w:val="21"/>
          <w:lang w:val="es-ES" w:eastAsia="es-ES"/>
        </w:rPr>
      </w:pPr>
    </w:p>
    <w:p w:rsidR="00EE792B" w:rsidRPr="00EE792B" w:rsidRDefault="00EE792B" w:rsidP="00EE792B">
      <w:pPr>
        <w:numPr>
          <w:ilvl w:val="0"/>
          <w:numId w:val="2"/>
        </w:numPr>
        <w:spacing w:after="0" w:line="240" w:lineRule="auto"/>
        <w:ind w:left="567" w:hanging="567"/>
        <w:jc w:val="both"/>
        <w:rPr>
          <w:rFonts w:ascii="Tahoma" w:eastAsia="Times New Roman" w:hAnsi="Tahoma" w:cs="Tahoma"/>
          <w:sz w:val="21"/>
          <w:szCs w:val="21"/>
          <w:lang w:val="es-ES" w:eastAsia="es-ES"/>
        </w:rPr>
      </w:pPr>
      <w:r w:rsidRPr="00EE792B">
        <w:rPr>
          <w:rFonts w:ascii="Tahoma" w:eastAsia="Times New Roman" w:hAnsi="Tahoma" w:cs="Tahoma"/>
          <w:bCs/>
          <w:sz w:val="21"/>
          <w:szCs w:val="21"/>
          <w:lang w:val="es-ES" w:eastAsia="es-ES"/>
        </w:rPr>
        <w:t>Para este Ítem, se admitieron las propuestas técnicas de: (i) REPRESENTACIONES MÉDICAS DEL PERÚ S.R.L., (ii) ROCHEM BIOCARE DEL PERÚ S.A.C., y (iii) LABDEALERS S.A.</w:t>
      </w:r>
    </w:p>
    <w:p w:rsidR="00EE792B" w:rsidRPr="00EE792B" w:rsidRDefault="00EE792B" w:rsidP="00EE792B">
      <w:pPr>
        <w:spacing w:after="0" w:line="240" w:lineRule="auto"/>
        <w:ind w:left="567" w:hanging="567"/>
        <w:rPr>
          <w:rFonts w:ascii="Tahoma" w:eastAsia="Times New Roman" w:hAnsi="Tahoma" w:cs="Tahoma"/>
          <w:sz w:val="21"/>
          <w:szCs w:val="21"/>
          <w:lang w:val="es-ES" w:eastAsia="es-ES"/>
        </w:rPr>
      </w:pPr>
    </w:p>
    <w:p w:rsidR="00EE792B" w:rsidRPr="00EE792B" w:rsidRDefault="00EE792B" w:rsidP="00EE792B">
      <w:pPr>
        <w:numPr>
          <w:ilvl w:val="0"/>
          <w:numId w:val="2"/>
        </w:numPr>
        <w:tabs>
          <w:tab w:val="left" w:pos="2694"/>
        </w:tabs>
        <w:spacing w:after="0" w:line="240" w:lineRule="auto"/>
        <w:ind w:left="567" w:hanging="567"/>
        <w:jc w:val="both"/>
        <w:rPr>
          <w:rFonts w:ascii="Tahoma" w:eastAsia="Times New Roman" w:hAnsi="Tahoma" w:cs="Tahoma"/>
          <w:sz w:val="21"/>
          <w:szCs w:val="21"/>
          <w:lang w:val="es-ES" w:eastAsia="es-ES"/>
        </w:rPr>
      </w:pPr>
      <w:r w:rsidRPr="00EE792B">
        <w:rPr>
          <w:rFonts w:ascii="Tahoma" w:eastAsia="Times New Roman" w:hAnsi="Tahoma" w:cs="Tahoma"/>
          <w:sz w:val="21"/>
          <w:szCs w:val="21"/>
          <w:lang w:val="es-ES" w:eastAsia="es-ES"/>
        </w:rPr>
        <w:t>El 15 de Julio de 2011, se publicó en el Sistema Electrónico de Adquisiciones y Contrataciones del Estado – SEACE el acta de otorgamiento de la Buena Pro, del ítem 08, siendo adjudicada la empresa</w:t>
      </w:r>
      <w:r w:rsidRPr="00EE792B">
        <w:rPr>
          <w:rFonts w:ascii="Tahoma" w:eastAsia="Times New Roman" w:hAnsi="Tahoma" w:cs="Tahoma"/>
          <w:bCs/>
          <w:sz w:val="21"/>
          <w:szCs w:val="21"/>
          <w:lang w:val="es-ES" w:eastAsia="es-ES"/>
        </w:rPr>
        <w:t xml:space="preserve"> REPRESENTACIONES MÉDICAS DEL PERÚ S.R.L.</w:t>
      </w:r>
    </w:p>
    <w:p w:rsidR="00EE792B" w:rsidRPr="00EE792B" w:rsidRDefault="00EE792B" w:rsidP="00EE792B">
      <w:pPr>
        <w:spacing w:after="0" w:line="240" w:lineRule="auto"/>
        <w:ind w:left="708" w:hanging="567"/>
        <w:rPr>
          <w:rFonts w:ascii="Tahoma" w:eastAsia="Times New Roman" w:hAnsi="Tahoma" w:cs="Tahoma"/>
          <w:sz w:val="21"/>
          <w:szCs w:val="21"/>
          <w:lang w:val="es-ES" w:eastAsia="es-ES"/>
        </w:rPr>
      </w:pPr>
    </w:p>
    <w:p w:rsidR="00EE792B" w:rsidRPr="00EE792B" w:rsidRDefault="00EE792B" w:rsidP="00EE792B">
      <w:pPr>
        <w:numPr>
          <w:ilvl w:val="0"/>
          <w:numId w:val="2"/>
        </w:numPr>
        <w:spacing w:after="0" w:line="240" w:lineRule="auto"/>
        <w:ind w:left="540" w:hanging="567"/>
        <w:jc w:val="both"/>
        <w:rPr>
          <w:rFonts w:ascii="Tahoma" w:eastAsia="Times New Roman" w:hAnsi="Tahoma" w:cs="Tahoma"/>
          <w:sz w:val="21"/>
          <w:szCs w:val="21"/>
          <w:lang w:val="es-ES" w:eastAsia="es-ES"/>
        </w:rPr>
      </w:pPr>
      <w:r w:rsidRPr="00EE792B">
        <w:rPr>
          <w:rFonts w:ascii="Tahoma" w:eastAsia="Times New Roman" w:hAnsi="Tahoma" w:cs="Tahoma"/>
          <w:sz w:val="21"/>
          <w:szCs w:val="21"/>
          <w:lang w:val="es-ES" w:eastAsia="es-ES"/>
        </w:rPr>
        <w:lastRenderedPageBreak/>
        <w:t xml:space="preserve">Posteriormente, mediante escrito presentado el 27 de Julio de 2011, debidamente subsanado el 02 de Agosto de 2011, la empresa LABDEALERS S.A., en adelante el Impugnante, interpuso recurso de apelación contra  el otorgamiento de la Buena Pro respecto del ítem Nro 08 a la empresa </w:t>
      </w:r>
      <w:r w:rsidRPr="00EE792B">
        <w:rPr>
          <w:rFonts w:ascii="Tahoma" w:eastAsia="Times New Roman" w:hAnsi="Tahoma" w:cs="Tahoma"/>
          <w:bCs/>
          <w:sz w:val="21"/>
          <w:szCs w:val="21"/>
          <w:lang w:val="es-ES" w:eastAsia="es-ES"/>
        </w:rPr>
        <w:t>REPRESENTACIONES MÉDICAS DEL PERÚ S.R.L.</w:t>
      </w:r>
      <w:r w:rsidRPr="00EE792B">
        <w:rPr>
          <w:rFonts w:ascii="Tahoma" w:eastAsia="Times New Roman" w:hAnsi="Tahoma" w:cs="Tahoma"/>
          <w:sz w:val="21"/>
          <w:szCs w:val="21"/>
          <w:lang w:val="es-ES" w:eastAsia="es-ES"/>
        </w:rPr>
        <w:t>, asimismo solicita se le otorgue la Buena Pro, respecto del ítem impugnado a su representada, ello en razón a los siguientes argumentos:</w:t>
      </w:r>
    </w:p>
    <w:p w:rsidR="00EE792B" w:rsidRPr="00EE792B" w:rsidRDefault="00EE792B" w:rsidP="00EE792B">
      <w:pPr>
        <w:spacing w:after="0" w:line="240" w:lineRule="auto"/>
        <w:ind w:left="708"/>
        <w:rPr>
          <w:rFonts w:ascii="Tahoma" w:eastAsia="Times New Roman" w:hAnsi="Tahoma" w:cs="Tahoma"/>
          <w:sz w:val="21"/>
          <w:szCs w:val="21"/>
          <w:lang w:val="es-ES" w:eastAsia="es-ES"/>
        </w:rPr>
      </w:pPr>
    </w:p>
    <w:p w:rsidR="00EE792B" w:rsidRPr="00EE792B" w:rsidRDefault="00EE792B" w:rsidP="00EE792B">
      <w:pPr>
        <w:spacing w:after="0" w:line="240" w:lineRule="auto"/>
        <w:ind w:firstLine="567"/>
        <w:rPr>
          <w:rFonts w:ascii="Tahoma" w:eastAsia="Times New Roman" w:hAnsi="Tahoma" w:cs="Tahoma"/>
          <w:sz w:val="21"/>
          <w:szCs w:val="21"/>
          <w:lang w:val="es-ES" w:eastAsia="es-ES"/>
        </w:rPr>
      </w:pPr>
      <w:r w:rsidRPr="00EE792B">
        <w:rPr>
          <w:rFonts w:ascii="Tahoma" w:eastAsia="Times New Roman" w:hAnsi="Tahoma" w:cs="Tahoma"/>
          <w:sz w:val="21"/>
          <w:szCs w:val="21"/>
          <w:lang w:val="es-ES" w:eastAsia="es-ES"/>
        </w:rPr>
        <w:t>“(…)</w:t>
      </w:r>
    </w:p>
    <w:p w:rsidR="00EE792B" w:rsidRPr="00EE792B" w:rsidRDefault="00EE792B" w:rsidP="00EE792B">
      <w:pPr>
        <w:numPr>
          <w:ilvl w:val="0"/>
          <w:numId w:val="7"/>
        </w:numPr>
        <w:spacing w:after="0" w:line="240" w:lineRule="auto"/>
        <w:ind w:left="1134" w:hanging="567"/>
        <w:jc w:val="both"/>
        <w:rPr>
          <w:rFonts w:ascii="Tahoma" w:eastAsia="Times New Roman" w:hAnsi="Tahoma" w:cs="Tahoma"/>
          <w:i/>
          <w:sz w:val="21"/>
          <w:szCs w:val="21"/>
          <w:lang w:val="es-ES" w:eastAsia="es-ES"/>
        </w:rPr>
      </w:pPr>
      <w:r w:rsidRPr="00EE792B">
        <w:rPr>
          <w:rFonts w:ascii="Tahoma" w:eastAsia="Times New Roman" w:hAnsi="Tahoma" w:cs="Tahoma"/>
          <w:i/>
          <w:sz w:val="21"/>
          <w:szCs w:val="21"/>
          <w:lang w:val="es-ES" w:eastAsia="es-ES"/>
        </w:rPr>
        <w:t>De la revisión y evaluación a los cuadros de calificación formulados por el Comité Especial para el Ítem Nº 8: Coagulación, hemos podido verificar que a mi representada no se le otorgó 10 puntos según los criterios de calificación establecidos en el folio 78 de las Bases Integradas, el mismo que fue establecido de acuerdo al detalle siguiente:</w:t>
      </w:r>
      <w:r w:rsidRPr="00EE792B">
        <w:rPr>
          <w:rFonts w:ascii="Tahoma" w:eastAsia="Times New Roman" w:hAnsi="Tahoma" w:cs="Tahoma"/>
          <w:i/>
          <w:sz w:val="21"/>
          <w:szCs w:val="21"/>
          <w:lang w:val="es-ES" w:eastAsia="es-ES"/>
        </w:rPr>
        <w:br/>
      </w:r>
    </w:p>
    <w:tbl>
      <w:tblPr>
        <w:tblStyle w:val="Tablaconcuadrcula"/>
        <w:tblW w:w="0" w:type="auto"/>
        <w:tblInd w:w="1134" w:type="dxa"/>
        <w:tblLook w:val="04A0"/>
      </w:tblPr>
      <w:tblGrid>
        <w:gridCol w:w="7920"/>
      </w:tblGrid>
      <w:tr w:rsidR="00EE792B" w:rsidRPr="00EE792B" w:rsidTr="00654A9E">
        <w:tc>
          <w:tcPr>
            <w:tcW w:w="8978" w:type="dxa"/>
          </w:tcPr>
          <w:p w:rsidR="00EE792B" w:rsidRPr="00EE792B" w:rsidRDefault="00EE792B" w:rsidP="00EE792B">
            <w:pPr>
              <w:jc w:val="both"/>
              <w:rPr>
                <w:rFonts w:ascii="Tahoma" w:hAnsi="Tahoma" w:cs="Tahoma"/>
                <w:i/>
                <w:sz w:val="21"/>
                <w:szCs w:val="21"/>
              </w:rPr>
            </w:pPr>
            <w:r w:rsidRPr="00EE792B">
              <w:rPr>
                <w:rFonts w:ascii="Tahoma" w:hAnsi="Tahoma" w:cs="Tahoma"/>
                <w:i/>
                <w:sz w:val="21"/>
                <w:szCs w:val="21"/>
              </w:rPr>
              <w:t xml:space="preserve">1.1     </w:t>
            </w:r>
            <w:r w:rsidRPr="00EE792B">
              <w:rPr>
                <w:rFonts w:ascii="Tahoma" w:hAnsi="Tahoma" w:cs="Tahoma"/>
                <w:b/>
                <w:i/>
                <w:sz w:val="21"/>
                <w:szCs w:val="21"/>
              </w:rPr>
              <w:t>CALIDAD DE LOS REACTIVOS OFERTADOS                  20 Puntos</w:t>
            </w:r>
          </w:p>
        </w:tc>
      </w:tr>
      <w:tr w:rsidR="00EE792B" w:rsidRPr="00EE792B" w:rsidTr="00654A9E">
        <w:tc>
          <w:tcPr>
            <w:tcW w:w="8978" w:type="dxa"/>
          </w:tcPr>
          <w:p w:rsidR="00EE792B" w:rsidRPr="00EE792B" w:rsidRDefault="00EE792B" w:rsidP="00EE792B">
            <w:pPr>
              <w:jc w:val="both"/>
              <w:rPr>
                <w:rFonts w:ascii="Tahoma" w:hAnsi="Tahoma" w:cs="Tahoma"/>
                <w:i/>
                <w:sz w:val="21"/>
                <w:szCs w:val="21"/>
              </w:rPr>
            </w:pPr>
            <w:r w:rsidRPr="00EE792B">
              <w:rPr>
                <w:rFonts w:ascii="Tahoma" w:hAnsi="Tahoma" w:cs="Tahoma"/>
                <w:i/>
                <w:sz w:val="21"/>
                <w:szCs w:val="21"/>
              </w:rPr>
              <w:t>1.1.2  Ofrece un mismo lote de reactivos:</w:t>
            </w:r>
          </w:p>
          <w:p w:rsidR="00EE792B" w:rsidRPr="00EE792B" w:rsidRDefault="00EE792B" w:rsidP="00EE792B">
            <w:pPr>
              <w:jc w:val="both"/>
              <w:rPr>
                <w:rFonts w:ascii="Tahoma" w:hAnsi="Tahoma" w:cs="Tahoma"/>
                <w:i/>
                <w:sz w:val="21"/>
                <w:szCs w:val="21"/>
              </w:rPr>
            </w:pPr>
            <w:r w:rsidRPr="00EE792B">
              <w:rPr>
                <w:rFonts w:ascii="Tahoma" w:hAnsi="Tahoma" w:cs="Tahoma"/>
                <w:i/>
                <w:sz w:val="21"/>
                <w:szCs w:val="21"/>
              </w:rPr>
              <w:t xml:space="preserve">          Ofrece un mismo lote de reactivos para 1 año                        10 Puntos</w:t>
            </w:r>
          </w:p>
          <w:p w:rsidR="00EE792B" w:rsidRPr="00EE792B" w:rsidRDefault="00EE792B" w:rsidP="00EE792B">
            <w:pPr>
              <w:jc w:val="both"/>
              <w:rPr>
                <w:rFonts w:ascii="Tahoma" w:hAnsi="Tahoma" w:cs="Tahoma"/>
                <w:i/>
                <w:sz w:val="21"/>
                <w:szCs w:val="21"/>
              </w:rPr>
            </w:pPr>
            <w:r w:rsidRPr="00EE792B">
              <w:rPr>
                <w:rFonts w:ascii="Tahoma" w:hAnsi="Tahoma" w:cs="Tahoma"/>
                <w:i/>
                <w:sz w:val="21"/>
                <w:szCs w:val="21"/>
              </w:rPr>
              <w:t xml:space="preserve">         Ofrece un mismo lote de reactivos para 6 meses                     05 Puntos</w:t>
            </w:r>
          </w:p>
          <w:p w:rsidR="00EE792B" w:rsidRPr="00EE792B" w:rsidRDefault="00EE792B" w:rsidP="00EE792B">
            <w:pPr>
              <w:jc w:val="both"/>
              <w:rPr>
                <w:rFonts w:ascii="Tahoma" w:hAnsi="Tahoma" w:cs="Tahoma"/>
                <w:i/>
                <w:sz w:val="21"/>
                <w:szCs w:val="21"/>
              </w:rPr>
            </w:pPr>
            <w:r w:rsidRPr="00EE792B">
              <w:rPr>
                <w:rFonts w:ascii="Tahoma" w:hAnsi="Tahoma" w:cs="Tahoma"/>
                <w:i/>
                <w:sz w:val="21"/>
                <w:szCs w:val="21"/>
              </w:rPr>
              <w:t xml:space="preserve">         Ofrece un mismo lote de reactivos para cada entrega             00 Puntos</w:t>
            </w:r>
          </w:p>
        </w:tc>
      </w:tr>
    </w:tbl>
    <w:p w:rsidR="00EE792B" w:rsidRPr="00EE792B" w:rsidRDefault="00EE792B" w:rsidP="00EE792B">
      <w:pPr>
        <w:spacing w:after="0" w:line="240" w:lineRule="auto"/>
        <w:ind w:left="1134"/>
        <w:jc w:val="both"/>
        <w:rPr>
          <w:rFonts w:ascii="Tahoma" w:eastAsia="Times New Roman" w:hAnsi="Tahoma" w:cs="Tahoma"/>
          <w:i/>
          <w:sz w:val="21"/>
          <w:szCs w:val="21"/>
          <w:lang w:val="es-ES" w:eastAsia="es-ES"/>
        </w:rPr>
      </w:pPr>
    </w:p>
    <w:p w:rsidR="00EE792B" w:rsidRPr="00EE792B" w:rsidRDefault="00EE792B" w:rsidP="00EE792B">
      <w:pPr>
        <w:spacing w:after="0" w:line="240" w:lineRule="auto"/>
        <w:ind w:left="1134"/>
        <w:jc w:val="both"/>
        <w:rPr>
          <w:rFonts w:ascii="Tahoma" w:eastAsia="Times New Roman" w:hAnsi="Tahoma" w:cs="Tahoma"/>
          <w:i/>
          <w:sz w:val="21"/>
          <w:szCs w:val="21"/>
          <w:lang w:val="es-ES" w:eastAsia="es-ES"/>
        </w:rPr>
      </w:pPr>
      <w:r w:rsidRPr="00EE792B">
        <w:rPr>
          <w:rFonts w:ascii="Tahoma" w:eastAsia="Times New Roman" w:hAnsi="Tahoma" w:cs="Tahoma"/>
          <w:i/>
          <w:sz w:val="21"/>
          <w:szCs w:val="21"/>
          <w:lang w:val="es-ES" w:eastAsia="es-ES"/>
        </w:rPr>
        <w:t>Para sustentar el puntaje referido al presente criterio de calificación mi representada cumplió con presentar en el folio 370 de nuestra propuesta técnica una Declaración Jurada de Ofertar un mismo lote por un año, en el cual se indica expresamente lo siguiente:</w:t>
      </w:r>
    </w:p>
    <w:p w:rsidR="00EE792B" w:rsidRPr="00EE792B" w:rsidRDefault="00EE792B" w:rsidP="00EE792B">
      <w:pPr>
        <w:spacing w:after="0" w:line="240" w:lineRule="auto"/>
        <w:ind w:left="1134"/>
        <w:jc w:val="both"/>
        <w:rPr>
          <w:rFonts w:ascii="Tahoma" w:eastAsia="Times New Roman" w:hAnsi="Tahoma" w:cs="Tahoma"/>
          <w:i/>
          <w:sz w:val="21"/>
          <w:szCs w:val="21"/>
          <w:lang w:val="es-ES" w:eastAsia="es-ES"/>
        </w:rPr>
      </w:pPr>
    </w:p>
    <w:p w:rsidR="00EE792B" w:rsidRPr="00EE792B" w:rsidRDefault="00EE792B" w:rsidP="00EE792B">
      <w:pPr>
        <w:spacing w:after="0" w:line="240" w:lineRule="auto"/>
        <w:ind w:left="1134"/>
        <w:jc w:val="both"/>
        <w:rPr>
          <w:rFonts w:ascii="Tahoma" w:eastAsia="Times New Roman" w:hAnsi="Tahoma" w:cs="Tahoma"/>
          <w:i/>
          <w:sz w:val="21"/>
          <w:szCs w:val="21"/>
          <w:lang w:val="es-ES" w:eastAsia="es-ES"/>
        </w:rPr>
      </w:pPr>
      <w:r w:rsidRPr="00EE792B">
        <w:rPr>
          <w:rFonts w:ascii="Tahoma" w:eastAsia="Times New Roman" w:hAnsi="Tahoma" w:cs="Tahoma"/>
          <w:i/>
          <w:sz w:val="21"/>
          <w:szCs w:val="21"/>
          <w:lang w:val="es-ES" w:eastAsia="es-ES"/>
        </w:rPr>
        <w:t>“Que los productos ofertados serán de un mismo lote, por el periodo de un (01) año”</w:t>
      </w:r>
    </w:p>
    <w:p w:rsidR="00EE792B" w:rsidRPr="00EE792B" w:rsidRDefault="00EE792B" w:rsidP="00EE792B">
      <w:pPr>
        <w:spacing w:after="0" w:line="240" w:lineRule="auto"/>
        <w:ind w:left="1134"/>
        <w:jc w:val="both"/>
        <w:rPr>
          <w:rFonts w:ascii="Tahoma" w:eastAsia="Times New Roman" w:hAnsi="Tahoma" w:cs="Tahoma"/>
          <w:i/>
          <w:sz w:val="21"/>
          <w:szCs w:val="21"/>
          <w:lang w:val="es-ES" w:eastAsia="es-ES"/>
        </w:rPr>
      </w:pPr>
    </w:p>
    <w:p w:rsidR="00EE792B" w:rsidRPr="00EE792B" w:rsidRDefault="00EE792B" w:rsidP="00EE792B">
      <w:pPr>
        <w:spacing w:after="0" w:line="240" w:lineRule="auto"/>
        <w:ind w:left="1134"/>
        <w:jc w:val="both"/>
        <w:rPr>
          <w:rFonts w:ascii="Tahoma" w:eastAsia="Times New Roman" w:hAnsi="Tahoma" w:cs="Tahoma"/>
          <w:i/>
          <w:sz w:val="21"/>
          <w:szCs w:val="21"/>
          <w:lang w:val="es-ES" w:eastAsia="es-ES"/>
        </w:rPr>
      </w:pPr>
      <w:r w:rsidRPr="00EE792B">
        <w:rPr>
          <w:rFonts w:ascii="Tahoma" w:eastAsia="Times New Roman" w:hAnsi="Tahoma" w:cs="Tahoma"/>
          <w:i/>
          <w:sz w:val="21"/>
          <w:szCs w:val="21"/>
          <w:lang w:val="es-ES" w:eastAsia="es-ES"/>
        </w:rPr>
        <w:t xml:space="preserve">En consecuencia se encuentra plenamente acreditado en nuestra propuesta técnica que hemos cumplido con ofertar reactivos para el Ítem8: Coagulación, que pertenece a un mismo lote para un (01) año, por lo tanto, corresponde que se nos otorgue diez (10) puntos en dicho subfactor de calificación, y no cero (0) puntos, como se encuentra establecido en el cuadro de calificación de propuestas técnicas; en consecuencia, nuestra propuesta técnica alcanzaría un puntaje de 90 puntos.   </w:t>
      </w:r>
    </w:p>
    <w:p w:rsidR="00EE792B" w:rsidRPr="00EE792B" w:rsidRDefault="00EE792B" w:rsidP="00EE792B">
      <w:pPr>
        <w:spacing w:after="0" w:line="240" w:lineRule="auto"/>
        <w:ind w:left="1134"/>
        <w:jc w:val="both"/>
        <w:rPr>
          <w:rFonts w:ascii="Tahoma" w:eastAsia="Times New Roman" w:hAnsi="Tahoma" w:cs="Tahoma"/>
          <w:i/>
          <w:sz w:val="21"/>
          <w:szCs w:val="21"/>
          <w:lang w:val="es-ES" w:eastAsia="es-ES"/>
        </w:rPr>
      </w:pPr>
    </w:p>
    <w:p w:rsidR="00746966" w:rsidRDefault="00EE792B" w:rsidP="00EE792B">
      <w:pPr>
        <w:numPr>
          <w:ilvl w:val="0"/>
          <w:numId w:val="7"/>
        </w:numPr>
        <w:spacing w:after="0" w:line="240" w:lineRule="auto"/>
        <w:ind w:left="1134" w:hanging="567"/>
        <w:jc w:val="both"/>
        <w:rPr>
          <w:rFonts w:ascii="Tahoma" w:eastAsia="Times New Roman" w:hAnsi="Tahoma" w:cs="Tahoma"/>
          <w:i/>
          <w:sz w:val="21"/>
          <w:szCs w:val="21"/>
          <w:lang w:val="es-ES" w:eastAsia="es-ES"/>
        </w:rPr>
      </w:pPr>
      <w:r w:rsidRPr="00EE792B">
        <w:rPr>
          <w:rFonts w:ascii="Tahoma" w:eastAsia="Times New Roman" w:hAnsi="Tahoma" w:cs="Tahoma"/>
          <w:i/>
          <w:sz w:val="21"/>
          <w:szCs w:val="21"/>
          <w:lang w:val="es-ES" w:eastAsia="es-ES"/>
        </w:rPr>
        <w:t>Como consecuencia de la modificación del puntaje técnico el resultado del puntaje total seria de acuerdo al siguiente detalle:</w:t>
      </w:r>
    </w:p>
    <w:p w:rsidR="00746966" w:rsidRDefault="00746966" w:rsidP="00746966">
      <w:pPr>
        <w:spacing w:after="0" w:line="240" w:lineRule="auto"/>
        <w:ind w:left="1134"/>
        <w:jc w:val="both"/>
        <w:rPr>
          <w:rFonts w:ascii="Tahoma" w:eastAsia="Times New Roman" w:hAnsi="Tahoma" w:cs="Tahoma"/>
          <w:i/>
          <w:sz w:val="21"/>
          <w:szCs w:val="21"/>
          <w:lang w:val="es-ES" w:eastAsia="es-ES"/>
        </w:rPr>
      </w:pPr>
    </w:p>
    <w:tbl>
      <w:tblPr>
        <w:tblStyle w:val="Tablaconcuadrcula"/>
        <w:tblW w:w="8069" w:type="dxa"/>
        <w:tblInd w:w="1134" w:type="dxa"/>
        <w:tblLook w:val="04A0"/>
      </w:tblPr>
      <w:tblGrid>
        <w:gridCol w:w="673"/>
        <w:gridCol w:w="1764"/>
        <w:gridCol w:w="1640"/>
        <w:gridCol w:w="2410"/>
        <w:gridCol w:w="1582"/>
      </w:tblGrid>
      <w:tr w:rsidR="00EE792B" w:rsidRPr="00EE792B" w:rsidTr="00654A9E">
        <w:tc>
          <w:tcPr>
            <w:tcW w:w="673" w:type="dxa"/>
          </w:tcPr>
          <w:p w:rsidR="00EE792B" w:rsidRPr="00EE792B" w:rsidRDefault="00EE792B" w:rsidP="00EE792B">
            <w:pPr>
              <w:jc w:val="center"/>
              <w:rPr>
                <w:rFonts w:ascii="Tahoma" w:hAnsi="Tahoma" w:cs="Tahoma"/>
                <w:b/>
                <w:i/>
                <w:sz w:val="20"/>
                <w:szCs w:val="20"/>
              </w:rPr>
            </w:pPr>
            <w:r w:rsidRPr="00EE792B">
              <w:rPr>
                <w:rFonts w:ascii="Tahoma" w:hAnsi="Tahoma" w:cs="Tahoma"/>
                <w:b/>
                <w:i/>
                <w:sz w:val="20"/>
                <w:szCs w:val="20"/>
              </w:rPr>
              <w:t>N/O</w:t>
            </w:r>
          </w:p>
        </w:tc>
        <w:tc>
          <w:tcPr>
            <w:tcW w:w="1764" w:type="dxa"/>
          </w:tcPr>
          <w:p w:rsidR="00EE792B" w:rsidRPr="00EE792B" w:rsidRDefault="00EE792B" w:rsidP="00EE792B">
            <w:pPr>
              <w:jc w:val="center"/>
              <w:rPr>
                <w:rFonts w:ascii="Tahoma" w:hAnsi="Tahoma" w:cs="Tahoma"/>
                <w:b/>
                <w:i/>
                <w:sz w:val="20"/>
                <w:szCs w:val="20"/>
              </w:rPr>
            </w:pPr>
            <w:r w:rsidRPr="00EE792B">
              <w:rPr>
                <w:rFonts w:ascii="Tahoma" w:hAnsi="Tahoma" w:cs="Tahoma"/>
                <w:b/>
                <w:i/>
                <w:sz w:val="20"/>
                <w:szCs w:val="20"/>
              </w:rPr>
              <w:t>POSTOR</w:t>
            </w:r>
          </w:p>
        </w:tc>
        <w:tc>
          <w:tcPr>
            <w:tcW w:w="1640" w:type="dxa"/>
          </w:tcPr>
          <w:p w:rsidR="00EE792B" w:rsidRPr="00EE792B" w:rsidRDefault="00EE792B" w:rsidP="00EE792B">
            <w:pPr>
              <w:jc w:val="center"/>
              <w:rPr>
                <w:rFonts w:ascii="Tahoma" w:hAnsi="Tahoma" w:cs="Tahoma"/>
                <w:b/>
                <w:i/>
                <w:sz w:val="20"/>
                <w:szCs w:val="20"/>
              </w:rPr>
            </w:pPr>
            <w:r w:rsidRPr="00EE792B">
              <w:rPr>
                <w:rFonts w:ascii="Tahoma" w:hAnsi="Tahoma" w:cs="Tahoma"/>
                <w:b/>
                <w:i/>
                <w:sz w:val="20"/>
                <w:szCs w:val="20"/>
              </w:rPr>
              <w:t>PROPUESTA ECONÓMICA</w:t>
            </w:r>
          </w:p>
        </w:tc>
        <w:tc>
          <w:tcPr>
            <w:tcW w:w="2410" w:type="dxa"/>
          </w:tcPr>
          <w:p w:rsidR="00EE792B" w:rsidRPr="00EE792B" w:rsidRDefault="00EE792B" w:rsidP="00EE792B">
            <w:pPr>
              <w:jc w:val="center"/>
              <w:rPr>
                <w:rFonts w:ascii="Tahoma" w:hAnsi="Tahoma" w:cs="Tahoma"/>
                <w:b/>
                <w:i/>
                <w:sz w:val="20"/>
                <w:szCs w:val="20"/>
              </w:rPr>
            </w:pPr>
            <w:r w:rsidRPr="00EE792B">
              <w:rPr>
                <w:rFonts w:ascii="Tahoma" w:hAnsi="Tahoma" w:cs="Tahoma"/>
                <w:b/>
                <w:i/>
                <w:sz w:val="20"/>
                <w:szCs w:val="20"/>
              </w:rPr>
              <w:t>PUNTAJE TEC Y ECO c1PTi + c2PEi</w:t>
            </w:r>
          </w:p>
        </w:tc>
        <w:tc>
          <w:tcPr>
            <w:tcW w:w="1582" w:type="dxa"/>
          </w:tcPr>
          <w:p w:rsidR="00EE792B" w:rsidRPr="00EE792B" w:rsidRDefault="00EE792B" w:rsidP="00EE792B">
            <w:pPr>
              <w:jc w:val="center"/>
              <w:rPr>
                <w:rFonts w:ascii="Tahoma" w:hAnsi="Tahoma" w:cs="Tahoma"/>
                <w:b/>
                <w:i/>
                <w:sz w:val="20"/>
                <w:szCs w:val="20"/>
              </w:rPr>
            </w:pPr>
            <w:r w:rsidRPr="00EE792B">
              <w:rPr>
                <w:rFonts w:ascii="Tahoma" w:hAnsi="Tahoma" w:cs="Tahoma"/>
                <w:b/>
                <w:i/>
                <w:sz w:val="20"/>
                <w:szCs w:val="20"/>
              </w:rPr>
              <w:t>PUNTAJE TOTAL</w:t>
            </w:r>
          </w:p>
        </w:tc>
      </w:tr>
      <w:tr w:rsidR="00EE792B" w:rsidRPr="00EE792B" w:rsidTr="00654A9E">
        <w:tc>
          <w:tcPr>
            <w:tcW w:w="673" w:type="dxa"/>
          </w:tcPr>
          <w:p w:rsidR="00EE792B" w:rsidRPr="00EE792B" w:rsidRDefault="00EE792B" w:rsidP="00EE792B">
            <w:pPr>
              <w:jc w:val="both"/>
              <w:rPr>
                <w:rFonts w:ascii="Tahoma" w:hAnsi="Tahoma" w:cs="Tahoma"/>
                <w:i/>
                <w:sz w:val="20"/>
                <w:szCs w:val="20"/>
              </w:rPr>
            </w:pPr>
            <w:r w:rsidRPr="00EE792B">
              <w:rPr>
                <w:rFonts w:ascii="Tahoma" w:hAnsi="Tahoma" w:cs="Tahoma"/>
                <w:i/>
                <w:sz w:val="20"/>
                <w:szCs w:val="20"/>
              </w:rPr>
              <w:t>01</w:t>
            </w:r>
          </w:p>
        </w:tc>
        <w:tc>
          <w:tcPr>
            <w:tcW w:w="1764" w:type="dxa"/>
          </w:tcPr>
          <w:p w:rsidR="00EE792B" w:rsidRPr="00EE792B" w:rsidRDefault="00EE792B" w:rsidP="00EE792B">
            <w:pPr>
              <w:jc w:val="center"/>
              <w:rPr>
                <w:rFonts w:ascii="Tahoma" w:hAnsi="Tahoma" w:cs="Tahoma"/>
                <w:i/>
                <w:sz w:val="20"/>
                <w:szCs w:val="20"/>
              </w:rPr>
            </w:pPr>
            <w:r w:rsidRPr="00EE792B">
              <w:rPr>
                <w:rFonts w:ascii="Tahoma" w:hAnsi="Tahoma" w:cs="Tahoma"/>
                <w:i/>
                <w:sz w:val="20"/>
                <w:szCs w:val="20"/>
              </w:rPr>
              <w:t xml:space="preserve">Representaciones Médicas del Perú </w:t>
            </w:r>
            <w:r w:rsidRPr="00EE792B">
              <w:rPr>
                <w:rFonts w:ascii="Tahoma" w:hAnsi="Tahoma" w:cs="Tahoma"/>
                <w:i/>
                <w:sz w:val="20"/>
                <w:szCs w:val="20"/>
              </w:rPr>
              <w:lastRenderedPageBreak/>
              <w:t>E.I.R.L.</w:t>
            </w:r>
          </w:p>
        </w:tc>
        <w:tc>
          <w:tcPr>
            <w:tcW w:w="1640" w:type="dxa"/>
          </w:tcPr>
          <w:p w:rsidR="00EE792B" w:rsidRPr="00EE792B" w:rsidRDefault="00EE792B" w:rsidP="00EE792B">
            <w:pPr>
              <w:jc w:val="center"/>
              <w:rPr>
                <w:rFonts w:ascii="Tahoma" w:hAnsi="Tahoma" w:cs="Tahoma"/>
                <w:i/>
                <w:sz w:val="20"/>
                <w:szCs w:val="20"/>
              </w:rPr>
            </w:pPr>
            <w:r w:rsidRPr="00EE792B">
              <w:rPr>
                <w:rFonts w:ascii="Tahoma" w:hAnsi="Tahoma" w:cs="Tahoma"/>
                <w:i/>
                <w:sz w:val="20"/>
                <w:szCs w:val="20"/>
              </w:rPr>
              <w:lastRenderedPageBreak/>
              <w:t>690, 000.00</w:t>
            </w:r>
          </w:p>
        </w:tc>
        <w:tc>
          <w:tcPr>
            <w:tcW w:w="2410" w:type="dxa"/>
          </w:tcPr>
          <w:p w:rsidR="00EE792B" w:rsidRPr="00EE792B" w:rsidRDefault="00EE792B" w:rsidP="00EE792B">
            <w:pPr>
              <w:jc w:val="both"/>
              <w:rPr>
                <w:rFonts w:ascii="Tahoma" w:hAnsi="Tahoma" w:cs="Tahoma"/>
                <w:i/>
                <w:sz w:val="20"/>
                <w:szCs w:val="20"/>
              </w:rPr>
            </w:pPr>
            <w:r w:rsidRPr="00EE792B">
              <w:rPr>
                <w:rFonts w:ascii="Tahoma" w:hAnsi="Tahoma" w:cs="Tahoma"/>
                <w:i/>
                <w:sz w:val="20"/>
                <w:szCs w:val="20"/>
              </w:rPr>
              <w:t>80 x 0.7  +  100 x 0.3</w:t>
            </w:r>
          </w:p>
          <w:p w:rsidR="00EE792B" w:rsidRPr="00EE792B" w:rsidRDefault="00EE792B" w:rsidP="00EE792B">
            <w:pPr>
              <w:jc w:val="both"/>
              <w:rPr>
                <w:rFonts w:ascii="Tahoma" w:hAnsi="Tahoma" w:cs="Tahoma"/>
                <w:i/>
                <w:sz w:val="20"/>
                <w:szCs w:val="20"/>
              </w:rPr>
            </w:pPr>
            <w:r w:rsidRPr="00EE792B">
              <w:rPr>
                <w:rFonts w:ascii="Tahoma" w:hAnsi="Tahoma" w:cs="Tahoma"/>
                <w:i/>
                <w:sz w:val="20"/>
                <w:szCs w:val="20"/>
              </w:rPr>
              <w:t xml:space="preserve">  56                30</w:t>
            </w:r>
          </w:p>
        </w:tc>
        <w:tc>
          <w:tcPr>
            <w:tcW w:w="1582" w:type="dxa"/>
          </w:tcPr>
          <w:p w:rsidR="00EE792B" w:rsidRPr="00EE792B" w:rsidRDefault="00EE792B" w:rsidP="00EE792B">
            <w:pPr>
              <w:jc w:val="center"/>
              <w:rPr>
                <w:rFonts w:ascii="Tahoma" w:hAnsi="Tahoma" w:cs="Tahoma"/>
                <w:i/>
                <w:sz w:val="20"/>
                <w:szCs w:val="20"/>
              </w:rPr>
            </w:pPr>
            <w:r w:rsidRPr="00EE792B">
              <w:rPr>
                <w:rFonts w:ascii="Tahoma" w:hAnsi="Tahoma" w:cs="Tahoma"/>
                <w:i/>
                <w:sz w:val="20"/>
                <w:szCs w:val="20"/>
              </w:rPr>
              <w:t>86.00</w:t>
            </w:r>
          </w:p>
        </w:tc>
      </w:tr>
      <w:tr w:rsidR="00EE792B" w:rsidRPr="00EE792B" w:rsidTr="00654A9E">
        <w:tc>
          <w:tcPr>
            <w:tcW w:w="673" w:type="dxa"/>
          </w:tcPr>
          <w:p w:rsidR="00EE792B" w:rsidRPr="00EE792B" w:rsidRDefault="00EE792B" w:rsidP="00EE792B">
            <w:pPr>
              <w:jc w:val="both"/>
              <w:rPr>
                <w:rFonts w:ascii="Tahoma" w:hAnsi="Tahoma" w:cs="Tahoma"/>
                <w:i/>
                <w:sz w:val="20"/>
                <w:szCs w:val="20"/>
              </w:rPr>
            </w:pPr>
            <w:r w:rsidRPr="00EE792B">
              <w:rPr>
                <w:rFonts w:ascii="Tahoma" w:hAnsi="Tahoma" w:cs="Tahoma"/>
                <w:i/>
                <w:sz w:val="20"/>
                <w:szCs w:val="20"/>
              </w:rPr>
              <w:lastRenderedPageBreak/>
              <w:t>02</w:t>
            </w:r>
          </w:p>
        </w:tc>
        <w:tc>
          <w:tcPr>
            <w:tcW w:w="1764" w:type="dxa"/>
          </w:tcPr>
          <w:p w:rsidR="00EE792B" w:rsidRPr="00EE792B" w:rsidRDefault="00EE792B" w:rsidP="00EE792B">
            <w:pPr>
              <w:jc w:val="center"/>
              <w:rPr>
                <w:rFonts w:ascii="Tahoma" w:hAnsi="Tahoma" w:cs="Tahoma"/>
                <w:i/>
                <w:sz w:val="20"/>
                <w:szCs w:val="20"/>
              </w:rPr>
            </w:pPr>
            <w:r w:rsidRPr="00EE792B">
              <w:rPr>
                <w:rFonts w:ascii="Tahoma" w:hAnsi="Tahoma" w:cs="Tahoma"/>
                <w:i/>
                <w:sz w:val="20"/>
                <w:szCs w:val="20"/>
              </w:rPr>
              <w:t>RochemBiocare del Perú S.R.L.</w:t>
            </w:r>
          </w:p>
        </w:tc>
        <w:tc>
          <w:tcPr>
            <w:tcW w:w="1640" w:type="dxa"/>
          </w:tcPr>
          <w:p w:rsidR="00EE792B" w:rsidRPr="00EE792B" w:rsidRDefault="00EE792B" w:rsidP="00EE792B">
            <w:pPr>
              <w:jc w:val="center"/>
              <w:rPr>
                <w:rFonts w:ascii="Tahoma" w:hAnsi="Tahoma" w:cs="Tahoma"/>
                <w:i/>
                <w:sz w:val="20"/>
                <w:szCs w:val="20"/>
              </w:rPr>
            </w:pPr>
            <w:r w:rsidRPr="00EE792B">
              <w:rPr>
                <w:rFonts w:ascii="Tahoma" w:hAnsi="Tahoma" w:cs="Tahoma"/>
                <w:i/>
                <w:sz w:val="20"/>
                <w:szCs w:val="20"/>
              </w:rPr>
              <w:t>810, 000.00</w:t>
            </w:r>
          </w:p>
        </w:tc>
        <w:tc>
          <w:tcPr>
            <w:tcW w:w="2410" w:type="dxa"/>
          </w:tcPr>
          <w:p w:rsidR="00EE792B" w:rsidRPr="00EE792B" w:rsidRDefault="00EE792B" w:rsidP="00EE792B">
            <w:pPr>
              <w:jc w:val="both"/>
              <w:rPr>
                <w:rFonts w:ascii="Tahoma" w:hAnsi="Tahoma" w:cs="Tahoma"/>
                <w:i/>
                <w:sz w:val="20"/>
                <w:szCs w:val="20"/>
              </w:rPr>
            </w:pPr>
            <w:r w:rsidRPr="00EE792B">
              <w:rPr>
                <w:rFonts w:ascii="Tahoma" w:hAnsi="Tahoma" w:cs="Tahoma"/>
                <w:i/>
                <w:sz w:val="20"/>
                <w:szCs w:val="20"/>
              </w:rPr>
              <w:t xml:space="preserve">70 x 0.7  +  85.19 x 0.3  </w:t>
            </w:r>
          </w:p>
          <w:p w:rsidR="00EE792B" w:rsidRPr="00EE792B" w:rsidRDefault="00EE792B" w:rsidP="00EE792B">
            <w:pPr>
              <w:jc w:val="both"/>
              <w:rPr>
                <w:rFonts w:ascii="Tahoma" w:hAnsi="Tahoma" w:cs="Tahoma"/>
                <w:i/>
                <w:sz w:val="20"/>
                <w:szCs w:val="20"/>
              </w:rPr>
            </w:pPr>
            <w:r w:rsidRPr="00EE792B">
              <w:rPr>
                <w:rFonts w:ascii="Tahoma" w:hAnsi="Tahoma" w:cs="Tahoma"/>
                <w:i/>
                <w:sz w:val="20"/>
                <w:szCs w:val="20"/>
              </w:rPr>
              <w:t xml:space="preserve">    49             25.56</w:t>
            </w:r>
          </w:p>
        </w:tc>
        <w:tc>
          <w:tcPr>
            <w:tcW w:w="1582" w:type="dxa"/>
          </w:tcPr>
          <w:p w:rsidR="00EE792B" w:rsidRPr="00EE792B" w:rsidRDefault="00EE792B" w:rsidP="00EE792B">
            <w:pPr>
              <w:jc w:val="center"/>
              <w:rPr>
                <w:rFonts w:ascii="Tahoma" w:hAnsi="Tahoma" w:cs="Tahoma"/>
                <w:i/>
                <w:sz w:val="20"/>
                <w:szCs w:val="20"/>
              </w:rPr>
            </w:pPr>
            <w:r w:rsidRPr="00EE792B">
              <w:rPr>
                <w:rFonts w:ascii="Tahoma" w:hAnsi="Tahoma" w:cs="Tahoma"/>
                <w:i/>
                <w:sz w:val="20"/>
                <w:szCs w:val="20"/>
              </w:rPr>
              <w:t>74.56</w:t>
            </w:r>
          </w:p>
        </w:tc>
      </w:tr>
      <w:tr w:rsidR="00EE792B" w:rsidRPr="00EE792B" w:rsidTr="00654A9E">
        <w:tc>
          <w:tcPr>
            <w:tcW w:w="673" w:type="dxa"/>
          </w:tcPr>
          <w:p w:rsidR="00EE792B" w:rsidRPr="00EE792B" w:rsidRDefault="00EE792B" w:rsidP="00EE792B">
            <w:pPr>
              <w:jc w:val="both"/>
              <w:rPr>
                <w:rFonts w:ascii="Tahoma" w:hAnsi="Tahoma" w:cs="Tahoma"/>
                <w:i/>
                <w:sz w:val="20"/>
                <w:szCs w:val="20"/>
              </w:rPr>
            </w:pPr>
            <w:r w:rsidRPr="00EE792B">
              <w:rPr>
                <w:rFonts w:ascii="Tahoma" w:hAnsi="Tahoma" w:cs="Tahoma"/>
                <w:i/>
                <w:sz w:val="20"/>
                <w:szCs w:val="20"/>
              </w:rPr>
              <w:t>03</w:t>
            </w:r>
          </w:p>
        </w:tc>
        <w:tc>
          <w:tcPr>
            <w:tcW w:w="1764" w:type="dxa"/>
          </w:tcPr>
          <w:p w:rsidR="00EE792B" w:rsidRPr="00EE792B" w:rsidRDefault="00EE792B" w:rsidP="00EE792B">
            <w:pPr>
              <w:jc w:val="center"/>
              <w:rPr>
                <w:rFonts w:ascii="Tahoma" w:hAnsi="Tahoma" w:cs="Tahoma"/>
                <w:i/>
                <w:sz w:val="20"/>
                <w:szCs w:val="20"/>
              </w:rPr>
            </w:pPr>
            <w:r w:rsidRPr="00EE792B">
              <w:rPr>
                <w:rFonts w:ascii="Tahoma" w:hAnsi="Tahoma" w:cs="Tahoma"/>
                <w:i/>
                <w:sz w:val="20"/>
                <w:szCs w:val="20"/>
              </w:rPr>
              <w:t>Labdealers S.A.</w:t>
            </w:r>
          </w:p>
        </w:tc>
        <w:tc>
          <w:tcPr>
            <w:tcW w:w="1640" w:type="dxa"/>
          </w:tcPr>
          <w:p w:rsidR="00EE792B" w:rsidRPr="00EE792B" w:rsidRDefault="00EE792B" w:rsidP="00EE792B">
            <w:pPr>
              <w:jc w:val="center"/>
              <w:rPr>
                <w:rFonts w:ascii="Tahoma" w:hAnsi="Tahoma" w:cs="Tahoma"/>
                <w:i/>
                <w:sz w:val="20"/>
                <w:szCs w:val="20"/>
              </w:rPr>
            </w:pPr>
            <w:r w:rsidRPr="00EE792B">
              <w:rPr>
                <w:rFonts w:ascii="Tahoma" w:hAnsi="Tahoma" w:cs="Tahoma"/>
                <w:i/>
                <w:sz w:val="20"/>
                <w:szCs w:val="20"/>
              </w:rPr>
              <w:t>776, 420.17</w:t>
            </w:r>
          </w:p>
        </w:tc>
        <w:tc>
          <w:tcPr>
            <w:tcW w:w="2410" w:type="dxa"/>
          </w:tcPr>
          <w:p w:rsidR="00EE792B" w:rsidRPr="00EE792B" w:rsidRDefault="00EE792B" w:rsidP="00EE792B">
            <w:pPr>
              <w:jc w:val="both"/>
              <w:rPr>
                <w:rFonts w:ascii="Tahoma" w:hAnsi="Tahoma" w:cs="Tahoma"/>
                <w:i/>
                <w:sz w:val="20"/>
                <w:szCs w:val="20"/>
              </w:rPr>
            </w:pPr>
            <w:r w:rsidRPr="00EE792B">
              <w:rPr>
                <w:rFonts w:ascii="Tahoma" w:hAnsi="Tahoma" w:cs="Tahoma"/>
                <w:i/>
                <w:sz w:val="20"/>
                <w:szCs w:val="20"/>
              </w:rPr>
              <w:t>90 x 0.7  +  88.87 x 0.3</w:t>
            </w:r>
          </w:p>
          <w:p w:rsidR="00EE792B" w:rsidRPr="00EE792B" w:rsidRDefault="00EE792B" w:rsidP="00EE792B">
            <w:pPr>
              <w:jc w:val="both"/>
              <w:rPr>
                <w:rFonts w:ascii="Tahoma" w:hAnsi="Tahoma" w:cs="Tahoma"/>
                <w:i/>
                <w:sz w:val="20"/>
                <w:szCs w:val="20"/>
              </w:rPr>
            </w:pPr>
            <w:r w:rsidRPr="00EE792B">
              <w:rPr>
                <w:rFonts w:ascii="Tahoma" w:hAnsi="Tahoma" w:cs="Tahoma"/>
                <w:i/>
                <w:sz w:val="20"/>
                <w:szCs w:val="20"/>
              </w:rPr>
              <w:t xml:space="preserve">  63                26.66</w:t>
            </w:r>
          </w:p>
        </w:tc>
        <w:tc>
          <w:tcPr>
            <w:tcW w:w="1582" w:type="dxa"/>
          </w:tcPr>
          <w:p w:rsidR="00EE792B" w:rsidRPr="00EE792B" w:rsidRDefault="00EE792B" w:rsidP="00EE792B">
            <w:pPr>
              <w:jc w:val="center"/>
              <w:rPr>
                <w:rFonts w:ascii="Tahoma" w:hAnsi="Tahoma" w:cs="Tahoma"/>
                <w:i/>
                <w:sz w:val="20"/>
                <w:szCs w:val="20"/>
              </w:rPr>
            </w:pPr>
            <w:r w:rsidRPr="00EE792B">
              <w:rPr>
                <w:rFonts w:ascii="Tahoma" w:hAnsi="Tahoma" w:cs="Tahoma"/>
                <w:i/>
                <w:sz w:val="20"/>
                <w:szCs w:val="20"/>
              </w:rPr>
              <w:t>89.66</w:t>
            </w:r>
          </w:p>
        </w:tc>
      </w:tr>
    </w:tbl>
    <w:p w:rsidR="00EE792B" w:rsidRPr="00EE792B" w:rsidRDefault="00EE792B" w:rsidP="00EE792B">
      <w:pPr>
        <w:spacing w:after="0" w:line="240" w:lineRule="auto"/>
        <w:ind w:left="1134"/>
        <w:jc w:val="both"/>
        <w:rPr>
          <w:rFonts w:ascii="Tahoma" w:eastAsia="Times New Roman" w:hAnsi="Tahoma" w:cs="Tahoma"/>
          <w:i/>
          <w:sz w:val="21"/>
          <w:szCs w:val="21"/>
          <w:lang w:val="es-ES" w:eastAsia="es-ES"/>
        </w:rPr>
      </w:pPr>
    </w:p>
    <w:p w:rsidR="00EE792B" w:rsidRPr="00EE792B" w:rsidRDefault="00EE792B" w:rsidP="00EE792B">
      <w:pPr>
        <w:numPr>
          <w:ilvl w:val="0"/>
          <w:numId w:val="7"/>
        </w:numPr>
        <w:spacing w:after="0" w:line="240" w:lineRule="auto"/>
        <w:ind w:left="1134" w:hanging="567"/>
        <w:jc w:val="both"/>
        <w:rPr>
          <w:rFonts w:ascii="Tahoma" w:eastAsia="Times New Roman" w:hAnsi="Tahoma" w:cs="Tahoma"/>
          <w:i/>
          <w:sz w:val="21"/>
          <w:szCs w:val="21"/>
          <w:lang w:val="es-ES" w:eastAsia="es-ES"/>
        </w:rPr>
      </w:pPr>
      <w:r w:rsidRPr="00EE792B">
        <w:rPr>
          <w:rFonts w:ascii="Tahoma" w:eastAsia="Times New Roman" w:hAnsi="Tahoma" w:cs="Tahoma"/>
          <w:i/>
          <w:sz w:val="21"/>
          <w:szCs w:val="21"/>
          <w:lang w:val="es-ES" w:eastAsia="es-ES"/>
        </w:rPr>
        <w:t>Por lo tanto se puede apreciar que mi representada alcanzaría el puntaje más alto, en consecuencia corresponde que el Tribunal de Contrataciones del OSCE, le otorgue la buena pro en consideración a lo establecido en el numeral 2 y 3 del artículo 119 del Reglamento de la Ley de Contrataciones del Estado, aprobado mediante Decreto Supremo Nº 184-2008-EF, del 03 de Junio 2008, solicitud que esperamos sea atendida por encontrarse de acuerdo a la normatividad vigente. (…)” (SIC)</w:t>
      </w:r>
    </w:p>
    <w:p w:rsidR="00EE792B" w:rsidRPr="00EE792B" w:rsidRDefault="00EE792B" w:rsidP="00EE792B">
      <w:pPr>
        <w:spacing w:after="0" w:line="240" w:lineRule="auto"/>
        <w:ind w:left="1134"/>
        <w:jc w:val="both"/>
        <w:rPr>
          <w:rFonts w:ascii="Tahoma" w:eastAsia="Times New Roman" w:hAnsi="Tahoma" w:cs="Tahoma"/>
          <w:sz w:val="21"/>
          <w:szCs w:val="21"/>
          <w:lang w:val="es-ES" w:eastAsia="es-ES"/>
        </w:rPr>
      </w:pPr>
    </w:p>
    <w:p w:rsidR="00EE792B" w:rsidRPr="00EE792B" w:rsidRDefault="00EE792B" w:rsidP="00EE792B">
      <w:pPr>
        <w:numPr>
          <w:ilvl w:val="0"/>
          <w:numId w:val="2"/>
        </w:numPr>
        <w:spacing w:after="0" w:line="240" w:lineRule="auto"/>
        <w:ind w:left="567" w:hanging="567"/>
        <w:jc w:val="both"/>
        <w:rPr>
          <w:rFonts w:ascii="Tahoma" w:eastAsia="Times New Roman" w:hAnsi="Tahoma" w:cs="Tahoma"/>
          <w:sz w:val="21"/>
          <w:szCs w:val="21"/>
          <w:lang w:val="es-ES" w:eastAsia="es-ES"/>
        </w:rPr>
      </w:pPr>
      <w:r w:rsidRPr="00EE792B">
        <w:rPr>
          <w:rFonts w:ascii="Tahoma" w:eastAsia="Times New Roman" w:hAnsi="Tahoma" w:cs="Tahoma"/>
          <w:sz w:val="21"/>
          <w:szCs w:val="21"/>
          <w:lang w:val="es-ES" w:eastAsia="es-ES"/>
        </w:rPr>
        <w:t>Con decreto de fecha 03 de Agosto de 2011, debidamente notificado el 08 del mismo mes y año, se admitió a trámite el recurso de apelación, y se le emplazó a La Entidad, para que remita los antecedentes administrativos relativos al proceso de selección.</w:t>
      </w:r>
    </w:p>
    <w:p w:rsidR="00EE792B" w:rsidRPr="00EE792B" w:rsidRDefault="00EE792B" w:rsidP="00EE792B">
      <w:pPr>
        <w:spacing w:after="0" w:line="240" w:lineRule="auto"/>
        <w:ind w:left="567"/>
        <w:jc w:val="both"/>
        <w:rPr>
          <w:rFonts w:ascii="Tahoma" w:eastAsia="Times New Roman" w:hAnsi="Tahoma" w:cs="Tahoma"/>
          <w:sz w:val="21"/>
          <w:szCs w:val="21"/>
          <w:lang w:val="es-ES" w:eastAsia="es-ES"/>
        </w:rPr>
      </w:pPr>
    </w:p>
    <w:p w:rsidR="00EE792B" w:rsidRPr="00EE792B" w:rsidRDefault="00EE792B" w:rsidP="00EE792B">
      <w:pPr>
        <w:numPr>
          <w:ilvl w:val="0"/>
          <w:numId w:val="2"/>
        </w:numPr>
        <w:spacing w:after="0" w:line="240" w:lineRule="auto"/>
        <w:ind w:left="567" w:hanging="567"/>
        <w:jc w:val="both"/>
        <w:rPr>
          <w:rFonts w:ascii="Tahoma" w:eastAsia="Times New Roman" w:hAnsi="Tahoma" w:cs="Tahoma"/>
          <w:sz w:val="21"/>
          <w:szCs w:val="21"/>
          <w:lang w:val="es-ES" w:eastAsia="es-ES"/>
        </w:rPr>
      </w:pPr>
      <w:r w:rsidRPr="00EE792B">
        <w:rPr>
          <w:rFonts w:ascii="Tahoma" w:eastAsia="Times New Roman" w:hAnsi="Tahoma" w:cs="Tahoma"/>
          <w:sz w:val="21"/>
          <w:szCs w:val="21"/>
          <w:lang w:val="es-ES" w:eastAsia="es-ES"/>
        </w:rPr>
        <w:t>Con decreto de fecha 12 de Agosto del 2011, debidamente notificado en la misma fecha, a través del Toma Razón Electrónico en el SEACE, se le reiteró a la Entidad para que cumpla con remitir los antecedentes administrativos relativos al proceso de selección.</w:t>
      </w:r>
    </w:p>
    <w:p w:rsidR="00EE792B" w:rsidRPr="00EE792B" w:rsidRDefault="00EE792B" w:rsidP="00EE792B">
      <w:pPr>
        <w:spacing w:after="0" w:line="240" w:lineRule="auto"/>
        <w:ind w:left="708"/>
        <w:rPr>
          <w:rFonts w:ascii="Tahoma" w:eastAsia="Times New Roman" w:hAnsi="Tahoma" w:cs="Tahoma"/>
          <w:sz w:val="21"/>
          <w:szCs w:val="21"/>
          <w:lang w:val="es-ES" w:eastAsia="es-ES"/>
        </w:rPr>
      </w:pPr>
    </w:p>
    <w:p w:rsidR="00EE792B" w:rsidRPr="00EE792B" w:rsidRDefault="00EE792B" w:rsidP="00EE792B">
      <w:pPr>
        <w:numPr>
          <w:ilvl w:val="0"/>
          <w:numId w:val="2"/>
        </w:numPr>
        <w:spacing w:after="0" w:line="240" w:lineRule="auto"/>
        <w:ind w:left="567" w:hanging="567"/>
        <w:jc w:val="both"/>
        <w:rPr>
          <w:rFonts w:ascii="Tahoma" w:eastAsia="Times New Roman" w:hAnsi="Tahoma" w:cs="Tahoma"/>
          <w:sz w:val="21"/>
          <w:szCs w:val="21"/>
          <w:lang w:val="es-ES" w:eastAsia="es-ES"/>
        </w:rPr>
      </w:pPr>
      <w:r w:rsidRPr="00EE792B">
        <w:rPr>
          <w:rFonts w:ascii="Tahoma" w:eastAsia="Times New Roman" w:hAnsi="Tahoma" w:cs="Tahoma"/>
          <w:sz w:val="21"/>
          <w:szCs w:val="21"/>
          <w:lang w:val="es-ES" w:eastAsia="es-ES"/>
        </w:rPr>
        <w:t>Con Oficio Nº 023-2011-OL-OGA/INEN, de fecha 12 de Agosto, la Entidad solicitó plazo adicional para remitir la documentación solicitada.</w:t>
      </w:r>
    </w:p>
    <w:p w:rsidR="00EE792B" w:rsidRPr="00EE792B" w:rsidRDefault="00EE792B" w:rsidP="00EE792B">
      <w:pPr>
        <w:spacing w:after="0" w:line="240" w:lineRule="auto"/>
        <w:ind w:left="708"/>
        <w:rPr>
          <w:rFonts w:ascii="Tahoma" w:eastAsia="Times New Roman" w:hAnsi="Tahoma" w:cs="Tahoma"/>
          <w:sz w:val="21"/>
          <w:szCs w:val="21"/>
          <w:lang w:val="es-ES" w:eastAsia="es-ES"/>
        </w:rPr>
      </w:pPr>
    </w:p>
    <w:p w:rsidR="00EE792B" w:rsidRPr="00EE792B" w:rsidRDefault="00EE792B" w:rsidP="00EE792B">
      <w:pPr>
        <w:numPr>
          <w:ilvl w:val="0"/>
          <w:numId w:val="2"/>
        </w:numPr>
        <w:spacing w:after="0" w:line="240" w:lineRule="auto"/>
        <w:ind w:left="567" w:hanging="567"/>
        <w:jc w:val="both"/>
        <w:rPr>
          <w:rFonts w:ascii="Tahoma" w:eastAsia="Times New Roman" w:hAnsi="Tahoma" w:cs="Tahoma"/>
          <w:sz w:val="21"/>
          <w:szCs w:val="21"/>
          <w:lang w:val="es-ES" w:eastAsia="es-ES"/>
        </w:rPr>
      </w:pPr>
      <w:r w:rsidRPr="00EE792B">
        <w:rPr>
          <w:rFonts w:ascii="Tahoma" w:eastAsia="Times New Roman" w:hAnsi="Tahoma" w:cs="Tahoma"/>
          <w:sz w:val="21"/>
          <w:szCs w:val="21"/>
          <w:lang w:val="es-ES" w:eastAsia="es-ES"/>
        </w:rPr>
        <w:t>Con decreto de fecha 15 de Agosto del 2011, se comunica a la Entidad que en virtud a que con decreto de fecha 12 de Agosto del presente año, se reiteró la solicitud de la remisión de los Antecedentes Administrativos, otorgándole el plazo de tres (03) días, su solicitud de plazo adicional, debía estarse a lo dispuesto al decreto de fecha 12 de Agosto de 2011.</w:t>
      </w:r>
    </w:p>
    <w:p w:rsidR="00EE792B" w:rsidRPr="00EE792B" w:rsidRDefault="00EE792B" w:rsidP="00EE792B">
      <w:pPr>
        <w:spacing w:after="0" w:line="240" w:lineRule="auto"/>
        <w:ind w:left="708"/>
        <w:rPr>
          <w:rFonts w:ascii="Tahoma" w:eastAsia="Times New Roman" w:hAnsi="Tahoma" w:cs="Tahoma"/>
          <w:sz w:val="21"/>
          <w:szCs w:val="21"/>
          <w:lang w:val="es-ES" w:eastAsia="es-ES"/>
        </w:rPr>
      </w:pPr>
    </w:p>
    <w:p w:rsidR="00EE792B" w:rsidRPr="00EE792B" w:rsidRDefault="00EE792B" w:rsidP="00EE792B">
      <w:pPr>
        <w:numPr>
          <w:ilvl w:val="0"/>
          <w:numId w:val="2"/>
        </w:numPr>
        <w:spacing w:after="0" w:line="240" w:lineRule="auto"/>
        <w:ind w:left="567" w:hanging="567"/>
        <w:jc w:val="both"/>
        <w:rPr>
          <w:rFonts w:ascii="Tahoma" w:eastAsia="Times New Roman" w:hAnsi="Tahoma" w:cs="Tahoma"/>
          <w:sz w:val="21"/>
          <w:szCs w:val="21"/>
          <w:lang w:val="es-ES" w:eastAsia="es-ES"/>
        </w:rPr>
      </w:pPr>
      <w:r w:rsidRPr="00EE792B">
        <w:rPr>
          <w:rFonts w:ascii="Tahoma" w:eastAsia="Times New Roman" w:hAnsi="Tahoma" w:cs="Tahoma"/>
          <w:sz w:val="21"/>
          <w:szCs w:val="21"/>
          <w:lang w:val="es-ES" w:eastAsia="es-ES"/>
        </w:rPr>
        <w:t>Mediante Oficio Nº 027-2011-OL-OGA/INEN, presentado el 17 de Agosto de 2011, la Entidad remitió los antecedentes administrativos solicitados, adjuntando el Informe Técnico Legal Nº 007-2011-OL-OGA/INEN, donde manifestó lo siguiente:</w:t>
      </w:r>
    </w:p>
    <w:p w:rsidR="00EE792B" w:rsidRPr="00EE792B" w:rsidRDefault="00EE792B" w:rsidP="00EE792B">
      <w:pPr>
        <w:spacing w:after="0" w:line="240" w:lineRule="auto"/>
        <w:ind w:left="708"/>
        <w:rPr>
          <w:rFonts w:ascii="Tahoma" w:eastAsia="Times New Roman" w:hAnsi="Tahoma" w:cs="Tahoma"/>
          <w:sz w:val="21"/>
          <w:szCs w:val="21"/>
          <w:lang w:val="es-ES" w:eastAsia="es-ES"/>
        </w:rPr>
      </w:pPr>
    </w:p>
    <w:p w:rsidR="00EE792B" w:rsidRDefault="00EE792B" w:rsidP="00EE792B">
      <w:pPr>
        <w:tabs>
          <w:tab w:val="left" w:pos="540"/>
        </w:tabs>
        <w:spacing w:after="0" w:line="240" w:lineRule="auto"/>
        <w:ind w:left="540"/>
        <w:jc w:val="both"/>
        <w:rPr>
          <w:rFonts w:ascii="Tahoma" w:eastAsia="Times New Roman" w:hAnsi="Tahoma" w:cs="Tahoma"/>
          <w:sz w:val="21"/>
          <w:szCs w:val="21"/>
          <w:lang w:val="es-ES" w:eastAsia="es-ES"/>
        </w:rPr>
      </w:pPr>
      <w:r w:rsidRPr="00EE792B">
        <w:rPr>
          <w:rFonts w:ascii="Tahoma" w:eastAsia="Times New Roman" w:hAnsi="Tahoma" w:cs="Tahoma"/>
          <w:sz w:val="21"/>
          <w:szCs w:val="21"/>
          <w:lang w:val="es-ES" w:eastAsia="es-ES"/>
        </w:rPr>
        <w:t>“(…)</w:t>
      </w:r>
    </w:p>
    <w:p w:rsidR="0056657A" w:rsidRPr="00EE792B" w:rsidRDefault="0056657A" w:rsidP="00EE792B">
      <w:pPr>
        <w:tabs>
          <w:tab w:val="left" w:pos="540"/>
        </w:tabs>
        <w:spacing w:after="0" w:line="240" w:lineRule="auto"/>
        <w:ind w:left="540"/>
        <w:jc w:val="both"/>
        <w:rPr>
          <w:rFonts w:ascii="Tahoma" w:eastAsia="Times New Roman" w:hAnsi="Tahoma" w:cs="Tahoma"/>
          <w:sz w:val="21"/>
          <w:szCs w:val="21"/>
          <w:lang w:val="es-ES" w:eastAsia="es-ES"/>
        </w:rPr>
      </w:pPr>
    </w:p>
    <w:p w:rsidR="00EE792B" w:rsidRPr="00EE792B" w:rsidRDefault="00EE792B" w:rsidP="00EE792B">
      <w:pPr>
        <w:numPr>
          <w:ilvl w:val="1"/>
          <w:numId w:val="1"/>
        </w:numPr>
        <w:tabs>
          <w:tab w:val="clear" w:pos="1800"/>
          <w:tab w:val="left" w:pos="1134"/>
        </w:tabs>
        <w:spacing w:after="0" w:line="240" w:lineRule="auto"/>
        <w:ind w:left="1134" w:hanging="567"/>
        <w:jc w:val="both"/>
        <w:rPr>
          <w:rFonts w:ascii="Tahoma" w:eastAsia="Times New Roman" w:hAnsi="Tahoma" w:cs="Tahoma"/>
          <w:i/>
          <w:sz w:val="21"/>
          <w:szCs w:val="21"/>
          <w:lang w:val="es-ES" w:eastAsia="es-ES"/>
        </w:rPr>
      </w:pPr>
      <w:r w:rsidRPr="00EE792B">
        <w:rPr>
          <w:rFonts w:ascii="Tahoma" w:eastAsia="Times New Roman" w:hAnsi="Tahoma" w:cs="Tahoma"/>
          <w:i/>
          <w:sz w:val="21"/>
          <w:szCs w:val="21"/>
          <w:lang w:val="es-ES" w:eastAsia="es-ES"/>
        </w:rPr>
        <w:t>En función a lo manifestado por la empresa impugnante, se tiene establecido en las Bases Integradas, como factor de evaluación lo siguiente:</w:t>
      </w:r>
    </w:p>
    <w:p w:rsidR="00EE792B" w:rsidRPr="00EE792B" w:rsidRDefault="00EE792B" w:rsidP="00EE792B">
      <w:pPr>
        <w:tabs>
          <w:tab w:val="left" w:pos="1134"/>
        </w:tabs>
        <w:spacing w:after="0" w:line="240" w:lineRule="auto"/>
        <w:ind w:left="1134"/>
        <w:jc w:val="both"/>
        <w:rPr>
          <w:rFonts w:ascii="Tahoma" w:eastAsia="Times New Roman" w:hAnsi="Tahoma" w:cs="Tahoma"/>
          <w:b/>
          <w:i/>
          <w:sz w:val="21"/>
          <w:szCs w:val="21"/>
          <w:lang w:val="es-ES" w:eastAsia="es-ES"/>
        </w:rPr>
      </w:pPr>
      <w:r w:rsidRPr="00EE792B">
        <w:rPr>
          <w:rFonts w:ascii="Tahoma" w:eastAsia="Times New Roman" w:hAnsi="Tahoma" w:cs="Tahoma"/>
          <w:b/>
          <w:i/>
          <w:sz w:val="21"/>
          <w:szCs w:val="21"/>
          <w:lang w:val="es-ES" w:eastAsia="es-ES"/>
        </w:rPr>
        <w:t>ÍTEM 08 COAGULACIÓN</w:t>
      </w:r>
    </w:p>
    <w:p w:rsidR="00EE792B" w:rsidRPr="00EE792B" w:rsidRDefault="00EE792B" w:rsidP="00EE792B">
      <w:pPr>
        <w:tabs>
          <w:tab w:val="left" w:pos="1134"/>
        </w:tabs>
        <w:spacing w:after="0" w:line="240" w:lineRule="auto"/>
        <w:ind w:left="1134"/>
        <w:jc w:val="both"/>
        <w:rPr>
          <w:rFonts w:ascii="Tahoma" w:eastAsia="Times New Roman" w:hAnsi="Tahoma" w:cs="Tahoma"/>
          <w:b/>
          <w:i/>
          <w:sz w:val="21"/>
          <w:szCs w:val="21"/>
          <w:lang w:val="es-ES" w:eastAsia="es-ES"/>
        </w:rPr>
      </w:pPr>
    </w:p>
    <w:tbl>
      <w:tblPr>
        <w:tblStyle w:val="Tablaconcuadrcula"/>
        <w:tblW w:w="8755" w:type="dxa"/>
        <w:tblInd w:w="1134" w:type="dxa"/>
        <w:tblLook w:val="04A0"/>
      </w:tblPr>
      <w:tblGrid>
        <w:gridCol w:w="7479"/>
        <w:gridCol w:w="1276"/>
      </w:tblGrid>
      <w:tr w:rsidR="00EE792B" w:rsidRPr="00EE792B" w:rsidTr="00654A9E">
        <w:tc>
          <w:tcPr>
            <w:tcW w:w="7479" w:type="dxa"/>
          </w:tcPr>
          <w:p w:rsidR="00EE792B" w:rsidRPr="00EE792B" w:rsidRDefault="00EE792B" w:rsidP="00EE792B">
            <w:pPr>
              <w:tabs>
                <w:tab w:val="left" w:pos="1134"/>
              </w:tabs>
              <w:jc w:val="both"/>
              <w:rPr>
                <w:rFonts w:ascii="Tahoma" w:hAnsi="Tahoma" w:cs="Tahoma"/>
                <w:b/>
                <w:i/>
                <w:sz w:val="20"/>
                <w:szCs w:val="20"/>
              </w:rPr>
            </w:pPr>
            <w:r w:rsidRPr="00EE792B">
              <w:rPr>
                <w:rFonts w:ascii="Tahoma" w:hAnsi="Tahoma" w:cs="Tahoma"/>
                <w:b/>
                <w:i/>
                <w:sz w:val="20"/>
                <w:szCs w:val="20"/>
              </w:rPr>
              <w:t>1 EVALUACIÓN DEL OBJETO DEL CONTRATO</w:t>
            </w:r>
          </w:p>
        </w:tc>
        <w:tc>
          <w:tcPr>
            <w:tcW w:w="1276" w:type="dxa"/>
          </w:tcPr>
          <w:p w:rsidR="00EE792B" w:rsidRPr="00EE792B" w:rsidRDefault="00EE792B" w:rsidP="00EE792B">
            <w:pPr>
              <w:tabs>
                <w:tab w:val="left" w:pos="1134"/>
              </w:tabs>
              <w:jc w:val="center"/>
              <w:rPr>
                <w:rFonts w:ascii="Tahoma" w:hAnsi="Tahoma" w:cs="Tahoma"/>
                <w:b/>
                <w:i/>
                <w:sz w:val="20"/>
                <w:szCs w:val="20"/>
              </w:rPr>
            </w:pPr>
            <w:r w:rsidRPr="00EE792B">
              <w:rPr>
                <w:rFonts w:ascii="Tahoma" w:hAnsi="Tahoma" w:cs="Tahoma"/>
                <w:b/>
                <w:i/>
                <w:sz w:val="20"/>
                <w:szCs w:val="20"/>
              </w:rPr>
              <w:t>70 PUNTOS</w:t>
            </w:r>
          </w:p>
        </w:tc>
      </w:tr>
      <w:tr w:rsidR="00EE792B" w:rsidRPr="00EE792B" w:rsidTr="00654A9E">
        <w:tc>
          <w:tcPr>
            <w:tcW w:w="7479" w:type="dxa"/>
          </w:tcPr>
          <w:p w:rsidR="00EE792B" w:rsidRPr="00EE792B" w:rsidRDefault="00EE792B" w:rsidP="00EE792B">
            <w:pPr>
              <w:numPr>
                <w:ilvl w:val="1"/>
                <w:numId w:val="8"/>
              </w:numPr>
              <w:tabs>
                <w:tab w:val="left" w:pos="1134"/>
              </w:tabs>
              <w:jc w:val="both"/>
              <w:rPr>
                <w:rFonts w:ascii="Tahoma" w:hAnsi="Tahoma" w:cs="Tahoma"/>
                <w:i/>
                <w:sz w:val="20"/>
                <w:szCs w:val="20"/>
              </w:rPr>
            </w:pPr>
            <w:r w:rsidRPr="00EE792B">
              <w:rPr>
                <w:rFonts w:ascii="Tahoma" w:hAnsi="Tahoma" w:cs="Tahoma"/>
                <w:i/>
                <w:sz w:val="20"/>
                <w:szCs w:val="20"/>
              </w:rPr>
              <w:lastRenderedPageBreak/>
              <w:t xml:space="preserve">      CALIDAD DE LOS REACTIVOS OFERTAD</w:t>
            </w:r>
            <w:r>
              <w:rPr>
                <w:rFonts w:ascii="Tahoma" w:hAnsi="Tahoma" w:cs="Tahoma"/>
                <w:i/>
                <w:sz w:val="20"/>
                <w:szCs w:val="20"/>
              </w:rPr>
              <w:t xml:space="preserve">OS                   </w:t>
            </w:r>
            <w:r w:rsidRPr="00EE792B">
              <w:rPr>
                <w:rFonts w:ascii="Tahoma" w:hAnsi="Tahoma" w:cs="Tahoma"/>
                <w:i/>
                <w:sz w:val="20"/>
                <w:szCs w:val="20"/>
              </w:rPr>
              <w:t>20       PUNTOS</w:t>
            </w:r>
          </w:p>
          <w:p w:rsidR="00EE792B" w:rsidRPr="00EE792B" w:rsidRDefault="00EE792B" w:rsidP="00EE792B">
            <w:pPr>
              <w:tabs>
                <w:tab w:val="left" w:pos="851"/>
              </w:tabs>
              <w:ind w:left="851" w:right="1167"/>
              <w:jc w:val="both"/>
              <w:rPr>
                <w:rFonts w:ascii="Tahoma" w:hAnsi="Tahoma" w:cs="Tahoma"/>
                <w:i/>
                <w:sz w:val="20"/>
                <w:szCs w:val="20"/>
              </w:rPr>
            </w:pPr>
            <w:r w:rsidRPr="00EE792B">
              <w:rPr>
                <w:rFonts w:ascii="Tahoma" w:hAnsi="Tahoma" w:cs="Tahoma"/>
                <w:i/>
                <w:sz w:val="20"/>
                <w:szCs w:val="20"/>
              </w:rPr>
              <w:t>(se evaluara según lo indicado en el literal n) del numeral 2.5 de las   ases)</w:t>
            </w:r>
          </w:p>
        </w:tc>
        <w:tc>
          <w:tcPr>
            <w:tcW w:w="1276" w:type="dxa"/>
          </w:tcPr>
          <w:p w:rsidR="00EE792B" w:rsidRPr="00EE792B" w:rsidRDefault="00EE792B" w:rsidP="00EE792B">
            <w:pPr>
              <w:tabs>
                <w:tab w:val="left" w:pos="1134"/>
              </w:tabs>
              <w:jc w:val="both"/>
              <w:rPr>
                <w:rFonts w:ascii="Tahoma" w:hAnsi="Tahoma" w:cs="Tahoma"/>
                <w:i/>
                <w:sz w:val="20"/>
                <w:szCs w:val="20"/>
              </w:rPr>
            </w:pPr>
          </w:p>
        </w:tc>
      </w:tr>
      <w:tr w:rsidR="00EE792B" w:rsidRPr="00EE792B" w:rsidTr="00654A9E">
        <w:tc>
          <w:tcPr>
            <w:tcW w:w="7479" w:type="dxa"/>
          </w:tcPr>
          <w:p w:rsidR="00EE792B" w:rsidRPr="00EE792B" w:rsidRDefault="00EE792B" w:rsidP="00EE792B">
            <w:pPr>
              <w:numPr>
                <w:ilvl w:val="2"/>
                <w:numId w:val="8"/>
              </w:numPr>
              <w:tabs>
                <w:tab w:val="left" w:pos="1134"/>
              </w:tabs>
              <w:jc w:val="both"/>
              <w:rPr>
                <w:rFonts w:ascii="Tahoma" w:hAnsi="Tahoma" w:cs="Tahoma"/>
                <w:i/>
                <w:sz w:val="20"/>
                <w:szCs w:val="20"/>
              </w:rPr>
            </w:pPr>
            <w:r w:rsidRPr="00EE792B">
              <w:rPr>
                <w:rFonts w:ascii="Tahoma" w:hAnsi="Tahoma" w:cs="Tahoma"/>
                <w:i/>
                <w:sz w:val="20"/>
                <w:szCs w:val="20"/>
              </w:rPr>
              <w:t>Del ISI en cuanto a reactivos para el Pt:</w:t>
            </w:r>
          </w:p>
          <w:p w:rsidR="00EE792B" w:rsidRPr="00EE792B" w:rsidRDefault="00EE792B" w:rsidP="00EE792B">
            <w:pPr>
              <w:tabs>
                <w:tab w:val="left" w:pos="1134"/>
              </w:tabs>
              <w:ind w:left="720"/>
              <w:jc w:val="both"/>
              <w:rPr>
                <w:rFonts w:ascii="Tahoma" w:hAnsi="Tahoma" w:cs="Tahoma"/>
                <w:i/>
                <w:sz w:val="20"/>
                <w:szCs w:val="20"/>
              </w:rPr>
            </w:pPr>
            <w:r w:rsidRPr="00EE792B">
              <w:rPr>
                <w:rFonts w:ascii="Tahoma" w:hAnsi="Tahoma" w:cs="Tahoma"/>
                <w:i/>
                <w:sz w:val="20"/>
                <w:szCs w:val="20"/>
              </w:rPr>
              <w:t>ISI igual a 1                                                     10 puntos</w:t>
            </w:r>
          </w:p>
          <w:p w:rsidR="00EE792B" w:rsidRPr="00EE792B" w:rsidRDefault="00EE792B" w:rsidP="00EE792B">
            <w:pPr>
              <w:tabs>
                <w:tab w:val="left" w:pos="1134"/>
              </w:tabs>
              <w:ind w:left="720"/>
              <w:jc w:val="both"/>
              <w:rPr>
                <w:rFonts w:ascii="Tahoma" w:hAnsi="Tahoma" w:cs="Tahoma"/>
                <w:i/>
                <w:sz w:val="20"/>
                <w:szCs w:val="20"/>
              </w:rPr>
            </w:pPr>
            <w:r w:rsidRPr="00EE792B">
              <w:rPr>
                <w:rFonts w:ascii="Tahoma" w:hAnsi="Tahoma" w:cs="Tahoma"/>
                <w:i/>
                <w:sz w:val="20"/>
                <w:szCs w:val="20"/>
              </w:rPr>
              <w:t>Mayor de uno y menor de 1.4                                             05 puntos</w:t>
            </w:r>
          </w:p>
          <w:p w:rsidR="00EE792B" w:rsidRPr="00EE792B" w:rsidRDefault="00EE792B" w:rsidP="00EE792B">
            <w:pPr>
              <w:tabs>
                <w:tab w:val="left" w:pos="1134"/>
              </w:tabs>
              <w:ind w:left="720"/>
              <w:jc w:val="both"/>
              <w:rPr>
                <w:rFonts w:ascii="Tahoma" w:hAnsi="Tahoma" w:cs="Tahoma"/>
                <w:i/>
                <w:sz w:val="20"/>
                <w:szCs w:val="20"/>
              </w:rPr>
            </w:pPr>
            <w:r w:rsidRPr="00EE792B">
              <w:rPr>
                <w:rFonts w:ascii="Tahoma" w:hAnsi="Tahoma" w:cs="Tahoma"/>
                <w:i/>
                <w:sz w:val="20"/>
                <w:szCs w:val="20"/>
              </w:rPr>
              <w:t>ISI = 1.1                                                          00 puntos</w:t>
            </w:r>
          </w:p>
          <w:p w:rsidR="00EE792B" w:rsidRPr="00EE792B" w:rsidRDefault="00EE792B" w:rsidP="00EE792B">
            <w:pPr>
              <w:tabs>
                <w:tab w:val="left" w:pos="1134"/>
              </w:tabs>
              <w:ind w:left="720"/>
              <w:jc w:val="both"/>
              <w:rPr>
                <w:rFonts w:ascii="Tahoma" w:hAnsi="Tahoma" w:cs="Tahoma"/>
                <w:i/>
                <w:sz w:val="20"/>
                <w:szCs w:val="20"/>
              </w:rPr>
            </w:pPr>
          </w:p>
          <w:p w:rsidR="00EE792B" w:rsidRPr="00EE792B" w:rsidRDefault="00EE792B" w:rsidP="00EE792B">
            <w:pPr>
              <w:numPr>
                <w:ilvl w:val="2"/>
                <w:numId w:val="9"/>
              </w:numPr>
              <w:tabs>
                <w:tab w:val="left" w:pos="1134"/>
              </w:tabs>
              <w:jc w:val="both"/>
              <w:rPr>
                <w:rFonts w:ascii="Tahoma" w:hAnsi="Tahoma" w:cs="Tahoma"/>
                <w:i/>
                <w:sz w:val="20"/>
                <w:szCs w:val="20"/>
              </w:rPr>
            </w:pPr>
            <w:r w:rsidRPr="00EE792B">
              <w:rPr>
                <w:rFonts w:ascii="Tahoma" w:hAnsi="Tahoma" w:cs="Tahoma"/>
                <w:i/>
                <w:sz w:val="20"/>
                <w:szCs w:val="20"/>
              </w:rPr>
              <w:t>Ofrecer un mismo lote de reactivos:</w:t>
            </w:r>
          </w:p>
          <w:p w:rsidR="00EE792B" w:rsidRPr="00EE792B" w:rsidRDefault="00EE792B" w:rsidP="00EE792B">
            <w:pPr>
              <w:tabs>
                <w:tab w:val="left" w:pos="1134"/>
              </w:tabs>
              <w:jc w:val="both"/>
              <w:rPr>
                <w:rFonts w:ascii="Tahoma" w:hAnsi="Tahoma" w:cs="Tahoma"/>
                <w:i/>
                <w:sz w:val="20"/>
                <w:szCs w:val="20"/>
              </w:rPr>
            </w:pPr>
            <w:r w:rsidRPr="00EE792B">
              <w:rPr>
                <w:rFonts w:ascii="Tahoma" w:hAnsi="Tahoma" w:cs="Tahoma"/>
                <w:i/>
                <w:sz w:val="20"/>
                <w:szCs w:val="20"/>
              </w:rPr>
              <w:t xml:space="preserve">            Ofrecer un mismo lote de reactivos para 1 año                   10 puntos</w:t>
            </w:r>
          </w:p>
          <w:p w:rsidR="00EE792B" w:rsidRPr="00EE792B" w:rsidRDefault="00EE792B" w:rsidP="00EE792B">
            <w:pPr>
              <w:tabs>
                <w:tab w:val="left" w:pos="1134"/>
              </w:tabs>
              <w:jc w:val="both"/>
              <w:rPr>
                <w:rFonts w:ascii="Tahoma" w:hAnsi="Tahoma" w:cs="Tahoma"/>
                <w:i/>
                <w:sz w:val="20"/>
                <w:szCs w:val="20"/>
              </w:rPr>
            </w:pPr>
            <w:r w:rsidRPr="00EE792B">
              <w:rPr>
                <w:rFonts w:ascii="Tahoma" w:hAnsi="Tahoma" w:cs="Tahoma"/>
                <w:i/>
                <w:sz w:val="20"/>
                <w:szCs w:val="20"/>
              </w:rPr>
              <w:t xml:space="preserve">            Ofrecer un mismo lote de reactivos para 6 meses               05 puntos</w:t>
            </w:r>
          </w:p>
          <w:p w:rsidR="00EE792B" w:rsidRPr="00EE792B" w:rsidRDefault="00EE792B" w:rsidP="00EE792B">
            <w:pPr>
              <w:tabs>
                <w:tab w:val="left" w:pos="1134"/>
              </w:tabs>
              <w:jc w:val="both"/>
              <w:rPr>
                <w:rFonts w:ascii="Tahoma" w:hAnsi="Tahoma" w:cs="Tahoma"/>
                <w:i/>
                <w:sz w:val="20"/>
                <w:szCs w:val="20"/>
              </w:rPr>
            </w:pPr>
            <w:r w:rsidRPr="00EE792B">
              <w:rPr>
                <w:rFonts w:ascii="Tahoma" w:hAnsi="Tahoma" w:cs="Tahoma"/>
                <w:i/>
                <w:sz w:val="20"/>
                <w:szCs w:val="20"/>
              </w:rPr>
              <w:t xml:space="preserve">           Ofrecer un mismo lote de reactivos para cada entrega        00 puntos</w:t>
            </w:r>
          </w:p>
        </w:tc>
        <w:tc>
          <w:tcPr>
            <w:tcW w:w="1276" w:type="dxa"/>
          </w:tcPr>
          <w:p w:rsidR="00EE792B" w:rsidRPr="00EE792B" w:rsidRDefault="00EE792B" w:rsidP="00EE792B">
            <w:pPr>
              <w:tabs>
                <w:tab w:val="left" w:pos="1134"/>
              </w:tabs>
              <w:jc w:val="both"/>
              <w:rPr>
                <w:rFonts w:ascii="Tahoma" w:hAnsi="Tahoma" w:cs="Tahoma"/>
                <w:i/>
                <w:sz w:val="20"/>
                <w:szCs w:val="20"/>
              </w:rPr>
            </w:pPr>
          </w:p>
        </w:tc>
      </w:tr>
    </w:tbl>
    <w:p w:rsidR="00EE792B" w:rsidRPr="00EE792B" w:rsidRDefault="00EE792B" w:rsidP="00EE792B">
      <w:pPr>
        <w:tabs>
          <w:tab w:val="left" w:pos="1134"/>
        </w:tabs>
        <w:spacing w:after="0" w:line="240" w:lineRule="auto"/>
        <w:ind w:left="1134"/>
        <w:jc w:val="both"/>
        <w:rPr>
          <w:rFonts w:ascii="Tahoma" w:eastAsia="Times New Roman" w:hAnsi="Tahoma" w:cs="Tahoma"/>
          <w:i/>
          <w:sz w:val="21"/>
          <w:szCs w:val="21"/>
          <w:lang w:val="es-ES" w:eastAsia="es-ES"/>
        </w:rPr>
      </w:pPr>
    </w:p>
    <w:p w:rsidR="00EE792B" w:rsidRPr="00EE792B" w:rsidRDefault="00EE792B" w:rsidP="00EE792B">
      <w:pPr>
        <w:numPr>
          <w:ilvl w:val="1"/>
          <w:numId w:val="1"/>
        </w:numPr>
        <w:tabs>
          <w:tab w:val="clear" w:pos="1800"/>
          <w:tab w:val="left" w:pos="1134"/>
        </w:tabs>
        <w:spacing w:after="0" w:line="240" w:lineRule="auto"/>
        <w:ind w:left="1134" w:hanging="567"/>
        <w:jc w:val="both"/>
        <w:rPr>
          <w:rFonts w:ascii="Tahoma" w:eastAsia="Times New Roman" w:hAnsi="Tahoma" w:cs="Tahoma"/>
          <w:i/>
          <w:sz w:val="21"/>
          <w:szCs w:val="21"/>
          <w:lang w:val="es-ES" w:eastAsia="es-ES"/>
        </w:rPr>
      </w:pPr>
      <w:r w:rsidRPr="00EE792B">
        <w:rPr>
          <w:rFonts w:ascii="Tahoma" w:eastAsia="Times New Roman" w:hAnsi="Tahoma" w:cs="Tahoma"/>
          <w:i/>
          <w:sz w:val="21"/>
          <w:szCs w:val="21"/>
          <w:lang w:val="es-ES" w:eastAsia="es-ES"/>
        </w:rPr>
        <w:t>Que, sobre el aspecto cuestionado, en el área usuaria a través del Informe Nº 079-2011-LH-DP/INEN, ha indicado lo siguiente:</w:t>
      </w:r>
      <w:r w:rsidRPr="00EE792B">
        <w:rPr>
          <w:rFonts w:ascii="Tahoma" w:eastAsia="Times New Roman" w:hAnsi="Tahoma" w:cs="Tahoma"/>
          <w:i/>
          <w:sz w:val="21"/>
          <w:szCs w:val="21"/>
          <w:lang w:val="es-ES" w:eastAsia="es-ES"/>
        </w:rPr>
        <w:br/>
        <w:t>(…)</w:t>
      </w:r>
      <w:r w:rsidRPr="00EE792B">
        <w:rPr>
          <w:rFonts w:ascii="Tahoma" w:eastAsia="Times New Roman" w:hAnsi="Tahoma" w:cs="Tahoma"/>
          <w:i/>
          <w:sz w:val="21"/>
          <w:szCs w:val="21"/>
          <w:lang w:val="es-ES" w:eastAsia="es-ES"/>
        </w:rPr>
        <w:br/>
        <w:t xml:space="preserve">“Con respecto a la evaluación de los postores al expediente de la empresa Labdealers no presenta en sus folios (enumerados), este informe; se ha revisado nuevamente la documentación y efectivamente este documento está en desorden, al final de la documentación (con número de folio escrito a mano), motivo por el cual no nos percatamos en la revisión inicial, (…) y al realizar una nueva revisión de este documento en el que ofrece un mismo lote de todos los reactivos para un año (objeto de puntaje) detectamos que efectivamente ofrece este requisito el postor; verificándose además sus protocolos de análisis”.  </w:t>
      </w:r>
    </w:p>
    <w:p w:rsidR="00EE792B" w:rsidRPr="00EE792B" w:rsidRDefault="00EE792B" w:rsidP="00EE792B">
      <w:pPr>
        <w:spacing w:after="0" w:line="240" w:lineRule="auto"/>
        <w:ind w:left="708"/>
        <w:rPr>
          <w:rFonts w:ascii="Tahoma" w:eastAsia="Times New Roman" w:hAnsi="Tahoma" w:cs="Tahoma"/>
          <w:i/>
          <w:sz w:val="21"/>
          <w:szCs w:val="21"/>
          <w:lang w:val="es-ES" w:eastAsia="es-ES"/>
        </w:rPr>
      </w:pPr>
    </w:p>
    <w:p w:rsidR="00EE792B" w:rsidRPr="00EE792B" w:rsidRDefault="00EE792B" w:rsidP="00EE792B">
      <w:pPr>
        <w:numPr>
          <w:ilvl w:val="1"/>
          <w:numId w:val="1"/>
        </w:numPr>
        <w:tabs>
          <w:tab w:val="clear" w:pos="1800"/>
          <w:tab w:val="left" w:pos="1134"/>
        </w:tabs>
        <w:spacing w:after="0" w:line="240" w:lineRule="auto"/>
        <w:ind w:left="1134" w:hanging="567"/>
        <w:jc w:val="both"/>
        <w:rPr>
          <w:rFonts w:ascii="Tahoma" w:eastAsia="Times New Roman" w:hAnsi="Tahoma" w:cs="Tahoma"/>
          <w:i/>
          <w:sz w:val="21"/>
          <w:szCs w:val="21"/>
          <w:lang w:val="es-ES" w:eastAsia="es-ES"/>
        </w:rPr>
      </w:pPr>
      <w:r w:rsidRPr="00EE792B">
        <w:rPr>
          <w:rFonts w:ascii="Tahoma" w:eastAsia="Times New Roman" w:hAnsi="Tahoma" w:cs="Tahoma"/>
          <w:i/>
          <w:sz w:val="21"/>
          <w:szCs w:val="21"/>
          <w:lang w:val="es-ES" w:eastAsia="es-ES"/>
        </w:rPr>
        <w:t>De lo anotado, cabe resaltar que en efecto la empresa impugnante habría cumplido con lo solicitado en las Bases Integradas para que se le otorgue el puntaje que reclama.</w:t>
      </w:r>
      <w:r w:rsidRPr="00EE792B">
        <w:rPr>
          <w:rFonts w:ascii="Tahoma" w:eastAsia="Times New Roman" w:hAnsi="Tahoma" w:cs="Tahoma"/>
          <w:sz w:val="21"/>
          <w:szCs w:val="21"/>
          <w:lang w:val="es-ES" w:eastAsia="es-ES"/>
        </w:rPr>
        <w:t>” (SIC).</w:t>
      </w:r>
    </w:p>
    <w:p w:rsidR="00EE792B" w:rsidRPr="00EE792B" w:rsidRDefault="00EE792B" w:rsidP="00EE792B">
      <w:pPr>
        <w:spacing w:after="0" w:line="240" w:lineRule="auto"/>
        <w:ind w:left="567"/>
        <w:jc w:val="both"/>
        <w:rPr>
          <w:rFonts w:ascii="Tahoma" w:eastAsia="Times New Roman" w:hAnsi="Tahoma" w:cs="Tahoma"/>
          <w:sz w:val="21"/>
          <w:szCs w:val="21"/>
          <w:lang w:val="es-ES" w:eastAsia="es-ES"/>
        </w:rPr>
      </w:pPr>
    </w:p>
    <w:p w:rsidR="00EE792B" w:rsidRPr="00EE792B" w:rsidRDefault="00EE792B" w:rsidP="00EE792B">
      <w:pPr>
        <w:numPr>
          <w:ilvl w:val="0"/>
          <w:numId w:val="2"/>
        </w:numPr>
        <w:spacing w:after="0" w:line="240" w:lineRule="auto"/>
        <w:ind w:left="567" w:hanging="567"/>
        <w:jc w:val="both"/>
        <w:rPr>
          <w:rFonts w:ascii="Tahoma" w:eastAsia="Times New Roman" w:hAnsi="Tahoma" w:cs="Tahoma"/>
          <w:sz w:val="21"/>
          <w:szCs w:val="21"/>
          <w:lang w:val="es-ES" w:eastAsia="es-ES"/>
        </w:rPr>
      </w:pPr>
      <w:r w:rsidRPr="00EE792B">
        <w:rPr>
          <w:rFonts w:ascii="Tahoma" w:eastAsia="Times New Roman" w:hAnsi="Tahoma" w:cs="Tahoma"/>
          <w:sz w:val="21"/>
          <w:szCs w:val="21"/>
          <w:lang w:val="es-ES" w:eastAsia="es-ES"/>
        </w:rPr>
        <w:t>Con decreto de fecha 18 de Agosto de 2011, se tuvo por apersonada a la Entidad, remitiéndose el presente expediente a la Cuarta Sala del Tribunal, para resolver.</w:t>
      </w:r>
    </w:p>
    <w:p w:rsidR="00EE792B" w:rsidRPr="00EE792B" w:rsidRDefault="00EE792B" w:rsidP="00EE792B">
      <w:pPr>
        <w:spacing w:after="0" w:line="240" w:lineRule="auto"/>
        <w:ind w:left="567"/>
        <w:jc w:val="both"/>
        <w:rPr>
          <w:rFonts w:ascii="Tahoma" w:eastAsia="Times New Roman" w:hAnsi="Tahoma" w:cs="Tahoma"/>
          <w:sz w:val="21"/>
          <w:szCs w:val="21"/>
          <w:lang w:val="es-ES" w:eastAsia="es-ES"/>
        </w:rPr>
      </w:pPr>
    </w:p>
    <w:p w:rsidR="00EE792B" w:rsidRPr="00EE792B" w:rsidRDefault="00EE792B" w:rsidP="00EE792B">
      <w:pPr>
        <w:numPr>
          <w:ilvl w:val="0"/>
          <w:numId w:val="2"/>
        </w:numPr>
        <w:spacing w:after="0" w:line="240" w:lineRule="auto"/>
        <w:ind w:left="567" w:hanging="567"/>
        <w:jc w:val="both"/>
        <w:rPr>
          <w:rFonts w:ascii="Tahoma" w:eastAsia="Times New Roman" w:hAnsi="Tahoma" w:cs="Tahoma"/>
          <w:sz w:val="21"/>
          <w:szCs w:val="21"/>
          <w:lang w:val="es-ES" w:eastAsia="es-ES"/>
        </w:rPr>
      </w:pPr>
      <w:r w:rsidRPr="00EE792B">
        <w:rPr>
          <w:rFonts w:ascii="Tahoma" w:eastAsia="Times New Roman" w:hAnsi="Tahoma" w:cs="Tahoma"/>
          <w:sz w:val="21"/>
          <w:szCs w:val="21"/>
          <w:lang w:val="es-ES" w:eastAsia="es-ES"/>
        </w:rPr>
        <w:t xml:space="preserve">Con escritos de fecha 18 y 23 de Agosto de 2011, se apersonó la empresa REPRESENTACIONES MÉDICAS DEL PERÚ S.R.L., al proceso en calidad de tercero administrado. </w:t>
      </w:r>
    </w:p>
    <w:p w:rsidR="00EE792B" w:rsidRPr="00EE792B" w:rsidRDefault="00EE792B" w:rsidP="00EE792B">
      <w:pPr>
        <w:spacing w:after="0" w:line="240" w:lineRule="auto"/>
        <w:ind w:left="567"/>
        <w:jc w:val="both"/>
        <w:rPr>
          <w:rFonts w:ascii="Tahoma" w:eastAsia="Times New Roman" w:hAnsi="Tahoma" w:cs="Tahoma"/>
          <w:sz w:val="21"/>
          <w:szCs w:val="21"/>
          <w:lang w:val="es-ES" w:eastAsia="es-ES"/>
        </w:rPr>
      </w:pPr>
    </w:p>
    <w:p w:rsidR="00EE792B" w:rsidRPr="00EE792B" w:rsidRDefault="00EE792B" w:rsidP="00EE792B">
      <w:pPr>
        <w:numPr>
          <w:ilvl w:val="0"/>
          <w:numId w:val="2"/>
        </w:numPr>
        <w:tabs>
          <w:tab w:val="num" w:pos="567"/>
        </w:tabs>
        <w:spacing w:after="0" w:line="240" w:lineRule="auto"/>
        <w:ind w:left="567" w:hanging="567"/>
        <w:contextualSpacing/>
        <w:jc w:val="both"/>
        <w:rPr>
          <w:rFonts w:ascii="Tahoma" w:eastAsia="Times New Roman" w:hAnsi="Tahoma" w:cs="Tahoma"/>
          <w:sz w:val="21"/>
          <w:szCs w:val="21"/>
          <w:lang w:val="es-ES_tradnl" w:eastAsia="es-ES"/>
        </w:rPr>
      </w:pPr>
      <w:r w:rsidRPr="00EE792B">
        <w:rPr>
          <w:rFonts w:ascii="Tahoma" w:eastAsia="Times New Roman" w:hAnsi="Tahoma" w:cs="Tahoma"/>
          <w:bCs/>
          <w:sz w:val="21"/>
          <w:szCs w:val="21"/>
          <w:lang w:val="es-ES" w:eastAsia="es-ES"/>
        </w:rPr>
        <w:t xml:space="preserve">Con decreto de fecha 05 de Septiembre del 2011, y en razón a la Resolución Nº </w:t>
      </w:r>
      <w:r w:rsidRPr="00EE792B">
        <w:rPr>
          <w:rFonts w:ascii="Tahoma" w:eastAsia="Times New Roman" w:hAnsi="Tahoma" w:cs="Tahoma"/>
          <w:color w:val="000000"/>
          <w:sz w:val="21"/>
          <w:szCs w:val="21"/>
          <w:lang w:val="es-ES" w:eastAsia="es-ES"/>
        </w:rPr>
        <w:t>574-2011-OSCE/PRE de fecha 02 de Septiembre del mismo a</w:t>
      </w:r>
      <w:r w:rsidRPr="00EE792B">
        <w:rPr>
          <w:rFonts w:ascii="Tahoma" w:eastAsia="Times New Roman" w:hAnsi="Tahoma" w:cs="Tahoma"/>
          <w:bCs/>
          <w:sz w:val="21"/>
          <w:szCs w:val="21"/>
        </w:rPr>
        <w:t xml:space="preserve">ño, se reasignó el presente expediente administrativo a la </w:t>
      </w:r>
      <w:r w:rsidRPr="00EE792B">
        <w:rPr>
          <w:rFonts w:ascii="Tahoma" w:eastAsia="Times New Roman" w:hAnsi="Tahoma" w:cs="Tahoma"/>
          <w:bCs/>
          <w:sz w:val="21"/>
          <w:szCs w:val="21"/>
          <w:lang w:val="es-ES" w:eastAsia="es-ES"/>
        </w:rPr>
        <w:t>Primera</w:t>
      </w:r>
      <w:r w:rsidRPr="00EE792B">
        <w:rPr>
          <w:rFonts w:ascii="Tahoma" w:eastAsia="Times New Roman" w:hAnsi="Tahoma" w:cs="Tahoma"/>
          <w:bCs/>
          <w:sz w:val="21"/>
          <w:szCs w:val="21"/>
        </w:rPr>
        <w:t xml:space="preserve"> Sala del Tribunal para su evaluación</w:t>
      </w:r>
      <w:r w:rsidRPr="00EE792B">
        <w:rPr>
          <w:rFonts w:ascii="Tahoma" w:eastAsia="Times New Roman" w:hAnsi="Tahoma" w:cs="Tahoma"/>
          <w:bCs/>
          <w:sz w:val="21"/>
          <w:szCs w:val="21"/>
          <w:lang w:val="es-ES" w:eastAsia="es-ES"/>
        </w:rPr>
        <w:t>.</w:t>
      </w:r>
    </w:p>
    <w:p w:rsidR="00EE792B" w:rsidRPr="00EE792B" w:rsidRDefault="00EE792B" w:rsidP="00EE792B">
      <w:pPr>
        <w:spacing w:after="0" w:line="240" w:lineRule="auto"/>
        <w:ind w:left="708"/>
        <w:rPr>
          <w:rFonts w:ascii="Tahoma" w:eastAsia="Times New Roman" w:hAnsi="Tahoma" w:cs="Tahoma"/>
          <w:sz w:val="21"/>
          <w:szCs w:val="21"/>
          <w:lang w:val="es-ES_tradnl" w:eastAsia="es-ES"/>
        </w:rPr>
      </w:pPr>
    </w:p>
    <w:p w:rsidR="00EE792B" w:rsidRPr="00EE792B" w:rsidRDefault="00EE792B" w:rsidP="00EE792B">
      <w:pPr>
        <w:numPr>
          <w:ilvl w:val="0"/>
          <w:numId w:val="2"/>
        </w:numPr>
        <w:spacing w:after="0" w:line="240" w:lineRule="auto"/>
        <w:ind w:left="567" w:hanging="567"/>
        <w:jc w:val="both"/>
        <w:rPr>
          <w:rFonts w:ascii="Tahoma" w:eastAsia="Times New Roman" w:hAnsi="Tahoma" w:cs="Tahoma"/>
          <w:sz w:val="21"/>
          <w:szCs w:val="21"/>
          <w:lang w:val="es-ES" w:eastAsia="es-ES"/>
        </w:rPr>
      </w:pPr>
      <w:r w:rsidRPr="00EE792B">
        <w:rPr>
          <w:rFonts w:ascii="Tahoma" w:eastAsia="Calibri" w:hAnsi="Tahoma" w:cs="Tahoma"/>
          <w:sz w:val="21"/>
          <w:szCs w:val="21"/>
          <w:lang w:val="es-ES_tradnl" w:eastAsia="es-ES"/>
        </w:rPr>
        <w:t>Con fecha 07 de Septiembre de 2011, se llevó a cabo la diligencia de Audiencia Pública, en la cual el impugnante efectuó sus respectivos inf</w:t>
      </w:r>
      <w:bookmarkStart w:id="0" w:name="_GoBack"/>
      <w:bookmarkEnd w:id="0"/>
      <w:r w:rsidRPr="00EE792B">
        <w:rPr>
          <w:rFonts w:ascii="Tahoma" w:eastAsia="Calibri" w:hAnsi="Tahoma" w:cs="Tahoma"/>
          <w:sz w:val="21"/>
          <w:szCs w:val="21"/>
          <w:lang w:val="es-ES_tradnl" w:eastAsia="es-ES"/>
        </w:rPr>
        <w:t xml:space="preserve">ormes legal y de hechos, asimismo el </w:t>
      </w:r>
      <w:r w:rsidRPr="00EE792B">
        <w:rPr>
          <w:rFonts w:ascii="Tahoma" w:eastAsia="Calibri" w:hAnsi="Tahoma" w:cs="Tahoma"/>
          <w:sz w:val="21"/>
          <w:szCs w:val="21"/>
          <w:lang w:val="es-ES_tradnl" w:eastAsia="es-ES"/>
        </w:rPr>
        <w:lastRenderedPageBreak/>
        <w:t xml:space="preserve">tercero administrado a pesar que se apersonó a dicha diligencia manifestó que declinaba en hacer uso de la palabra. </w:t>
      </w:r>
    </w:p>
    <w:p w:rsidR="00EE792B" w:rsidRPr="00EE792B" w:rsidRDefault="00EE792B" w:rsidP="00EE792B">
      <w:pPr>
        <w:spacing w:after="0" w:line="240" w:lineRule="auto"/>
        <w:ind w:left="708"/>
        <w:rPr>
          <w:rFonts w:ascii="Tahoma" w:eastAsia="Times New Roman" w:hAnsi="Tahoma" w:cs="Tahoma"/>
          <w:sz w:val="21"/>
          <w:szCs w:val="21"/>
          <w:lang w:val="es-ES" w:eastAsia="es-ES"/>
        </w:rPr>
      </w:pPr>
    </w:p>
    <w:p w:rsidR="00EE792B" w:rsidRPr="00EE792B" w:rsidRDefault="00EE792B" w:rsidP="00EE792B">
      <w:pPr>
        <w:numPr>
          <w:ilvl w:val="0"/>
          <w:numId w:val="2"/>
        </w:numPr>
        <w:spacing w:after="0" w:line="240" w:lineRule="auto"/>
        <w:ind w:left="567" w:hanging="567"/>
        <w:jc w:val="both"/>
        <w:rPr>
          <w:rFonts w:ascii="Tahoma" w:eastAsia="Times New Roman" w:hAnsi="Tahoma" w:cs="Tahoma"/>
          <w:sz w:val="21"/>
          <w:szCs w:val="21"/>
          <w:lang w:val="es-ES" w:eastAsia="es-ES"/>
        </w:rPr>
      </w:pPr>
      <w:r w:rsidRPr="00EE792B">
        <w:rPr>
          <w:rFonts w:ascii="Tahoma" w:eastAsia="Times New Roman" w:hAnsi="Tahoma" w:cs="Tahoma"/>
          <w:sz w:val="21"/>
          <w:szCs w:val="21"/>
          <w:lang w:val="es-ES" w:eastAsia="es-ES"/>
        </w:rPr>
        <w:t>Con decreto de fecha 08 de Septiembre de 2011, se declaró el expediente Listo para Resolver.</w:t>
      </w:r>
    </w:p>
    <w:p w:rsidR="00EE792B" w:rsidRPr="00EE792B" w:rsidRDefault="00EE792B" w:rsidP="00EE792B">
      <w:pPr>
        <w:spacing w:after="0" w:line="240" w:lineRule="auto"/>
        <w:ind w:left="540" w:hanging="540"/>
        <w:jc w:val="both"/>
        <w:rPr>
          <w:rFonts w:ascii="Tahoma" w:eastAsia="Times New Roman" w:hAnsi="Tahoma" w:cs="Tahoma"/>
          <w:sz w:val="21"/>
          <w:szCs w:val="21"/>
          <w:lang w:val="es-ES" w:eastAsia="es-ES"/>
        </w:rPr>
      </w:pPr>
    </w:p>
    <w:p w:rsidR="00EE792B" w:rsidRPr="00EE792B" w:rsidRDefault="00EE792B" w:rsidP="00EE792B">
      <w:pPr>
        <w:spacing w:after="0" w:line="240" w:lineRule="auto"/>
        <w:ind w:firstLine="708"/>
        <w:rPr>
          <w:rFonts w:ascii="Tahoma" w:eastAsia="Times New Roman" w:hAnsi="Tahoma" w:cs="Tahoma"/>
          <w:b/>
          <w:sz w:val="21"/>
          <w:szCs w:val="21"/>
          <w:lang w:val="es-ES" w:eastAsia="es-ES"/>
        </w:rPr>
      </w:pPr>
      <w:r w:rsidRPr="00EE792B">
        <w:rPr>
          <w:rFonts w:ascii="Tahoma" w:eastAsia="Times New Roman" w:hAnsi="Tahoma" w:cs="Tahoma"/>
          <w:b/>
          <w:sz w:val="21"/>
          <w:szCs w:val="21"/>
          <w:lang w:val="es-ES" w:eastAsia="es-ES"/>
        </w:rPr>
        <w:t>FUNDAMENTACIÓN:</w:t>
      </w:r>
    </w:p>
    <w:p w:rsidR="00EE792B" w:rsidRPr="00EE792B" w:rsidRDefault="00EE792B" w:rsidP="00EE792B">
      <w:pPr>
        <w:spacing w:after="0" w:line="240" w:lineRule="auto"/>
        <w:ind w:left="540" w:hanging="540"/>
        <w:jc w:val="both"/>
        <w:rPr>
          <w:rFonts w:ascii="Tahoma" w:eastAsia="Times New Roman" w:hAnsi="Tahoma" w:cs="Tahoma"/>
          <w:sz w:val="21"/>
          <w:szCs w:val="21"/>
          <w:lang w:val="es-ES" w:eastAsia="es-ES"/>
        </w:rPr>
      </w:pPr>
    </w:p>
    <w:p w:rsidR="00EE792B" w:rsidRPr="00EE792B" w:rsidRDefault="00EE792B" w:rsidP="00EE792B">
      <w:pPr>
        <w:numPr>
          <w:ilvl w:val="0"/>
          <w:numId w:val="10"/>
        </w:numPr>
        <w:spacing w:after="0" w:line="240" w:lineRule="auto"/>
        <w:jc w:val="both"/>
        <w:rPr>
          <w:rFonts w:ascii="Tahoma" w:eastAsia="Times New Roman" w:hAnsi="Tahoma" w:cs="Tahoma"/>
          <w:sz w:val="21"/>
          <w:szCs w:val="21"/>
          <w:lang w:val="es-ES" w:eastAsia="es-ES"/>
        </w:rPr>
      </w:pPr>
      <w:r w:rsidRPr="00EE792B">
        <w:rPr>
          <w:rFonts w:ascii="Tahoma" w:eastAsia="Times New Roman" w:hAnsi="Tahoma" w:cs="Tahoma"/>
          <w:sz w:val="21"/>
          <w:szCs w:val="21"/>
          <w:lang w:val="es-ES" w:eastAsia="es-ES"/>
        </w:rPr>
        <w:t>Es materia de este procedimiento administrativo el recurso de apelación interpuesto por la empresa C &amp; E LABDEALERS SOCIEDAD ANÓNIMA., en adelante el Impugnante, contra la calificación de su propuesta técnica y el otorgamiento de la buena pro, respecto del Ítem Nº 08 de</w:t>
      </w:r>
      <w:r w:rsidRPr="00EE792B">
        <w:rPr>
          <w:rFonts w:ascii="Tahoma" w:eastAsia="Times New Roman" w:hAnsi="Tahoma" w:cs="Tahoma"/>
          <w:sz w:val="21"/>
          <w:szCs w:val="21"/>
          <w:lang w:eastAsia="es-ES"/>
        </w:rPr>
        <w:t xml:space="preserve"> la Licitación Pública Nº 001-2011-INEN</w:t>
      </w:r>
      <w:r w:rsidRPr="00EE792B">
        <w:rPr>
          <w:rFonts w:ascii="Tahoma" w:eastAsia="Times New Roman" w:hAnsi="Tahoma" w:cs="Tahoma"/>
          <w:sz w:val="21"/>
          <w:szCs w:val="21"/>
          <w:lang w:val="es-ES" w:eastAsia="es-ES"/>
        </w:rPr>
        <w:t>, convocado por el INSTITUTO NACIONAL DE ENFERMEDADES NEOPLASICAS - INEN, para la “Adquisición de reactivos para Laboratorio Clínico”.</w:t>
      </w:r>
    </w:p>
    <w:p w:rsidR="00EE792B" w:rsidRPr="00EE792B" w:rsidRDefault="00EE792B" w:rsidP="00EE792B">
      <w:pPr>
        <w:spacing w:after="0" w:line="240" w:lineRule="auto"/>
        <w:jc w:val="both"/>
        <w:rPr>
          <w:rFonts w:ascii="Tahoma" w:eastAsia="Times New Roman" w:hAnsi="Tahoma" w:cs="Tahoma"/>
          <w:sz w:val="21"/>
          <w:szCs w:val="21"/>
          <w:lang w:val="es-ES" w:eastAsia="es-ES"/>
        </w:rPr>
      </w:pPr>
    </w:p>
    <w:p w:rsidR="00EE792B" w:rsidRPr="00EE792B" w:rsidRDefault="00EE792B" w:rsidP="00EE792B">
      <w:pPr>
        <w:numPr>
          <w:ilvl w:val="0"/>
          <w:numId w:val="10"/>
        </w:numPr>
        <w:spacing w:after="0" w:line="240" w:lineRule="auto"/>
        <w:jc w:val="both"/>
        <w:rPr>
          <w:rFonts w:ascii="Tahoma" w:eastAsia="Times New Roman" w:hAnsi="Tahoma" w:cs="Tahoma"/>
          <w:sz w:val="21"/>
          <w:szCs w:val="21"/>
          <w:lang w:val="es-ES" w:eastAsia="es-ES"/>
        </w:rPr>
      </w:pPr>
      <w:r w:rsidRPr="00EE792B">
        <w:rPr>
          <w:rFonts w:ascii="Tahoma" w:eastAsia="Times New Roman" w:hAnsi="Tahoma" w:cs="Tahoma"/>
          <w:sz w:val="21"/>
          <w:szCs w:val="21"/>
          <w:lang w:val="es-ES" w:eastAsia="es-ES"/>
        </w:rPr>
        <w:t xml:space="preserve">Como fluye de los antecedentes expuestos, el asunto controvertido que debe ser objeto de pronunciamiento consiste en determinar si la calificación de la propuesta del Impugnante y </w:t>
      </w:r>
      <w:r w:rsidRPr="00EE792B">
        <w:rPr>
          <w:rFonts w:ascii="Tahoma" w:eastAsia="Times New Roman" w:hAnsi="Tahoma" w:cs="Tahoma"/>
          <w:sz w:val="21"/>
          <w:szCs w:val="21"/>
          <w:lang w:eastAsia="es-ES"/>
        </w:rPr>
        <w:t>el otorgamiento de la Buena Pro,</w:t>
      </w:r>
      <w:r w:rsidRPr="00EE792B">
        <w:rPr>
          <w:rFonts w:ascii="Tahoma" w:eastAsia="Times New Roman" w:hAnsi="Tahoma" w:cs="Tahoma"/>
          <w:sz w:val="21"/>
          <w:szCs w:val="21"/>
          <w:lang w:val="es-ES" w:eastAsia="es-ES"/>
        </w:rPr>
        <w:t xml:space="preserve"> se llevó a cabo conforme a la normativa vigente en materia de contrataciones del Estado</w:t>
      </w:r>
      <w:r w:rsidRPr="00EE792B">
        <w:rPr>
          <w:rFonts w:ascii="Tahoma" w:eastAsia="Times New Roman" w:hAnsi="Tahoma" w:cs="Tahoma"/>
          <w:sz w:val="21"/>
          <w:szCs w:val="21"/>
          <w:lang w:eastAsia="es-ES"/>
        </w:rPr>
        <w:t>.</w:t>
      </w:r>
    </w:p>
    <w:p w:rsidR="00EE792B" w:rsidRPr="00EE792B" w:rsidRDefault="00EE792B" w:rsidP="00EE792B">
      <w:pPr>
        <w:spacing w:after="0" w:line="240" w:lineRule="auto"/>
        <w:ind w:left="708"/>
        <w:rPr>
          <w:rFonts w:ascii="Tahoma" w:eastAsia="Times New Roman" w:hAnsi="Tahoma" w:cs="Tahoma"/>
          <w:sz w:val="21"/>
          <w:szCs w:val="21"/>
          <w:lang w:val="es-ES" w:eastAsia="es-ES"/>
        </w:rPr>
      </w:pPr>
    </w:p>
    <w:p w:rsidR="00EE792B" w:rsidRPr="00EE792B" w:rsidRDefault="00EE792B" w:rsidP="00EE792B">
      <w:pPr>
        <w:numPr>
          <w:ilvl w:val="0"/>
          <w:numId w:val="10"/>
        </w:numPr>
        <w:spacing w:after="0" w:line="240" w:lineRule="auto"/>
        <w:jc w:val="both"/>
        <w:rPr>
          <w:rFonts w:ascii="Tahoma" w:eastAsia="Times New Roman" w:hAnsi="Tahoma" w:cs="Tahoma"/>
          <w:sz w:val="21"/>
          <w:szCs w:val="21"/>
          <w:lang w:val="es-ES" w:eastAsia="es-ES"/>
        </w:rPr>
      </w:pPr>
      <w:r w:rsidRPr="00EE792B">
        <w:rPr>
          <w:rFonts w:ascii="Tahoma" w:eastAsia="Times New Roman" w:hAnsi="Tahoma" w:cs="Tahoma"/>
          <w:sz w:val="21"/>
          <w:szCs w:val="21"/>
          <w:lang w:eastAsia="es-ES"/>
        </w:rPr>
        <w:t xml:space="preserve">En principio,de conformidad con lo prescrito en el </w:t>
      </w:r>
      <w:r w:rsidRPr="00EE792B">
        <w:rPr>
          <w:rFonts w:ascii="Tahoma" w:eastAsia="Times New Roman" w:hAnsi="Tahoma" w:cs="Tahoma"/>
          <w:sz w:val="21"/>
          <w:szCs w:val="21"/>
          <w:lang w:val="es-ES" w:eastAsia="es-ES"/>
        </w:rPr>
        <w:t>artículo 26 del Decreto Legislativo Nº 1017, Ley de Contrataciones del Estado, lo establecido en las Bases constituye las reglas del proceso de selección y es en función de ellas que se debe efectuar la calificación y evaluación de las propuestas, y obliga a todos los postores y a la Entidad convocante. La Entidad por su parte, tiene la obligación de calificar las propuestas conforme a las especificaciones técnicas y a los criterios objetivos de evaluación detallados en las Bases, las que deben ser congruentes con la adquisición a efectuar y deben apreciarse conforme a los principios que rigen las Contrataciones del Estado; y por otra parte los postores tienen la obligación de formular sus propuestas de acuerdo a lo solicitado en ellas.</w:t>
      </w:r>
    </w:p>
    <w:p w:rsidR="00EE792B" w:rsidRPr="00EE792B" w:rsidRDefault="00EE792B" w:rsidP="00EE792B">
      <w:pPr>
        <w:spacing w:after="0" w:line="240" w:lineRule="auto"/>
        <w:ind w:left="708"/>
        <w:rPr>
          <w:rFonts w:ascii="Tahoma" w:eastAsia="Times New Roman" w:hAnsi="Tahoma" w:cs="Tahoma"/>
          <w:sz w:val="21"/>
          <w:szCs w:val="21"/>
          <w:lang w:val="es-ES" w:eastAsia="es-ES"/>
        </w:rPr>
      </w:pPr>
    </w:p>
    <w:p w:rsidR="00EE792B" w:rsidRPr="00EE792B" w:rsidRDefault="00EE792B" w:rsidP="00EE792B">
      <w:pPr>
        <w:numPr>
          <w:ilvl w:val="0"/>
          <w:numId w:val="10"/>
        </w:numPr>
        <w:spacing w:after="0" w:line="240" w:lineRule="auto"/>
        <w:jc w:val="both"/>
        <w:rPr>
          <w:rFonts w:ascii="Tahoma" w:eastAsia="Times New Roman" w:hAnsi="Tahoma" w:cs="Tahoma"/>
          <w:sz w:val="21"/>
          <w:szCs w:val="21"/>
          <w:lang w:val="es-ES" w:eastAsia="es-ES"/>
        </w:rPr>
      </w:pPr>
      <w:r w:rsidRPr="00EE792B">
        <w:rPr>
          <w:rFonts w:ascii="Tahoma" w:eastAsia="Times New Roman" w:hAnsi="Tahoma" w:cs="Tahoma"/>
          <w:sz w:val="21"/>
          <w:szCs w:val="21"/>
          <w:lang w:val="es-ES" w:eastAsia="es-ES"/>
        </w:rPr>
        <w:t>Ahora bien, de los hechos expuestos se desprende que el punto controvertido de la presente controversia gira en torno a que la Declaración Jurada de ofertar un mismo Lote por un año, presentada por el impugnante, no fue tomada en cuenta para el factor de calidad de los reactivos ofertados, toda vez que según lo manifestado por la Entidad no se percataron de dicho documento en la revisión inicial, dado que dicho documento se encontraba en desorden.</w:t>
      </w:r>
    </w:p>
    <w:p w:rsidR="00EE792B" w:rsidRPr="00EE792B" w:rsidRDefault="00EE792B" w:rsidP="00EE792B">
      <w:pPr>
        <w:spacing w:after="0" w:line="240" w:lineRule="auto"/>
        <w:ind w:left="708"/>
        <w:rPr>
          <w:rFonts w:ascii="Tahoma" w:eastAsia="Times New Roman" w:hAnsi="Tahoma" w:cs="Tahoma"/>
          <w:sz w:val="21"/>
          <w:szCs w:val="21"/>
          <w:lang w:val="es-ES" w:eastAsia="es-ES"/>
        </w:rPr>
      </w:pPr>
    </w:p>
    <w:p w:rsidR="00EE792B" w:rsidRPr="00EE792B" w:rsidRDefault="00EE792B" w:rsidP="00EE792B">
      <w:pPr>
        <w:numPr>
          <w:ilvl w:val="0"/>
          <w:numId w:val="10"/>
        </w:numPr>
        <w:spacing w:after="0" w:line="240" w:lineRule="auto"/>
        <w:jc w:val="both"/>
        <w:rPr>
          <w:rFonts w:ascii="Tahoma" w:eastAsia="Times New Roman" w:hAnsi="Tahoma" w:cs="Tahoma"/>
          <w:sz w:val="21"/>
          <w:szCs w:val="21"/>
          <w:lang w:val="es-ES" w:eastAsia="es-ES"/>
        </w:rPr>
      </w:pPr>
      <w:r w:rsidRPr="00EE792B">
        <w:rPr>
          <w:rFonts w:ascii="Tahoma" w:eastAsia="Times New Roman" w:hAnsi="Tahoma" w:cs="Tahoma"/>
          <w:sz w:val="21"/>
          <w:szCs w:val="21"/>
          <w:lang w:val="es-ES" w:eastAsia="es-ES"/>
        </w:rPr>
        <w:t>En ese orden de ideas, de la revisión de la propuesta del Impugnante, se observa que en el folio 370 (folio 425 de los antecedentes remitidos por la Entidad) se encuentra  la Declaración Jurada de Ofertar un mismo Lote por año, la cual indica lo siguiente “…</w:t>
      </w:r>
      <w:r w:rsidRPr="00EE792B">
        <w:rPr>
          <w:rFonts w:ascii="Tahoma" w:eastAsia="Times New Roman" w:hAnsi="Tahoma" w:cs="Tahoma"/>
          <w:i/>
          <w:sz w:val="21"/>
          <w:szCs w:val="21"/>
          <w:lang w:val="es-ES" w:eastAsia="es-ES"/>
        </w:rPr>
        <w:t xml:space="preserve">La que suscribe, doña Erika Espinoza Cortijo identificada con DNI Nº 09915699, representante </w:t>
      </w:r>
      <w:r w:rsidRPr="00EE792B">
        <w:rPr>
          <w:rFonts w:ascii="Tahoma" w:eastAsia="Times New Roman" w:hAnsi="Tahoma" w:cs="Tahoma"/>
          <w:i/>
          <w:sz w:val="21"/>
          <w:szCs w:val="21"/>
          <w:lang w:val="es-ES" w:eastAsia="es-ES"/>
        </w:rPr>
        <w:lastRenderedPageBreak/>
        <w:t>legal de C &amp; E LABDEALERS S.A., con R.U.C. Nº 20423135647, declaro bajo juramento lo siguiente: Que los productos serán de un mismo lote, por el periodo de un (01) año</w:t>
      </w:r>
      <w:r w:rsidRPr="00EE792B">
        <w:rPr>
          <w:rFonts w:ascii="Tahoma" w:eastAsia="Times New Roman" w:hAnsi="Tahoma" w:cs="Tahoma"/>
          <w:sz w:val="21"/>
          <w:szCs w:val="21"/>
          <w:lang w:val="es-ES" w:eastAsia="es-ES"/>
        </w:rPr>
        <w:t>…”.</w:t>
      </w:r>
    </w:p>
    <w:p w:rsidR="00EE792B" w:rsidRPr="00EE792B" w:rsidRDefault="00EE792B" w:rsidP="00EE792B">
      <w:pPr>
        <w:spacing w:after="0" w:line="240" w:lineRule="auto"/>
        <w:ind w:left="708"/>
        <w:rPr>
          <w:rFonts w:ascii="Tahoma" w:eastAsia="Times New Roman" w:hAnsi="Tahoma" w:cs="Tahoma"/>
          <w:sz w:val="21"/>
          <w:szCs w:val="21"/>
          <w:lang w:val="es-ES" w:eastAsia="es-ES"/>
        </w:rPr>
      </w:pPr>
    </w:p>
    <w:p w:rsidR="00EE792B" w:rsidRPr="00EE792B" w:rsidRDefault="00EE792B" w:rsidP="00EE792B">
      <w:pPr>
        <w:numPr>
          <w:ilvl w:val="0"/>
          <w:numId w:val="10"/>
        </w:numPr>
        <w:spacing w:after="0" w:line="240" w:lineRule="auto"/>
        <w:jc w:val="both"/>
        <w:rPr>
          <w:rFonts w:ascii="Tahoma" w:eastAsia="Times New Roman" w:hAnsi="Tahoma" w:cs="Tahoma"/>
          <w:sz w:val="21"/>
          <w:szCs w:val="21"/>
          <w:lang w:eastAsia="es-ES"/>
        </w:rPr>
      </w:pPr>
      <w:r w:rsidRPr="00EE792B">
        <w:rPr>
          <w:rFonts w:ascii="Tahoma" w:eastAsia="Times New Roman" w:hAnsi="Tahoma" w:cs="Tahoma"/>
          <w:sz w:val="21"/>
          <w:szCs w:val="21"/>
          <w:lang w:eastAsia="es-ES"/>
        </w:rPr>
        <w:t xml:space="preserve">De esta forma, en el Capítulo IV de las Bases Integradas, se consignó en los Criterios de Evaluación - Evaluación del objeto del contrato que en caso se ofrezca un mismo lote de reactivos para un (01) año se le otorgará 10 puntos. </w:t>
      </w:r>
    </w:p>
    <w:p w:rsidR="00EE792B" w:rsidRPr="00EE792B" w:rsidRDefault="00EE792B" w:rsidP="00EE792B">
      <w:pPr>
        <w:spacing w:after="0" w:line="240" w:lineRule="auto"/>
        <w:ind w:left="708"/>
        <w:rPr>
          <w:rFonts w:ascii="Tahoma" w:eastAsia="Times New Roman" w:hAnsi="Tahoma" w:cs="Tahoma"/>
          <w:sz w:val="21"/>
          <w:szCs w:val="21"/>
          <w:lang w:val="es-ES" w:eastAsia="es-ES"/>
        </w:rPr>
      </w:pPr>
    </w:p>
    <w:p w:rsidR="00EE792B" w:rsidRPr="00EE792B" w:rsidRDefault="00EE792B" w:rsidP="00EE792B">
      <w:pPr>
        <w:numPr>
          <w:ilvl w:val="0"/>
          <w:numId w:val="10"/>
        </w:numPr>
        <w:tabs>
          <w:tab w:val="left" w:pos="4678"/>
        </w:tabs>
        <w:spacing w:after="0" w:line="240" w:lineRule="auto"/>
        <w:jc w:val="both"/>
        <w:rPr>
          <w:rFonts w:ascii="Tahoma" w:eastAsia="Times New Roman" w:hAnsi="Tahoma" w:cs="Tahoma"/>
          <w:sz w:val="21"/>
          <w:szCs w:val="21"/>
          <w:lang w:eastAsia="es-ES"/>
        </w:rPr>
      </w:pPr>
      <w:r w:rsidRPr="00EE792B">
        <w:rPr>
          <w:rFonts w:ascii="Tahoma" w:eastAsia="Times New Roman" w:hAnsi="Tahoma" w:cs="Tahoma"/>
          <w:sz w:val="21"/>
          <w:szCs w:val="21"/>
          <w:lang w:eastAsia="es-ES"/>
        </w:rPr>
        <w:t>Al respecto, de la revisión de la propuesta técnica del impugnante se ha podido colegir que está habría presentado una declaración jurada en la cual está ofreciendo un mismo lote de reactivos para un (01) año, por lo cual debió habérsele otorgado el puntaje correspondiente.</w:t>
      </w:r>
    </w:p>
    <w:p w:rsidR="00EE792B" w:rsidRPr="00EE792B" w:rsidRDefault="00EE792B" w:rsidP="00EE792B">
      <w:pPr>
        <w:spacing w:after="0" w:line="240" w:lineRule="auto"/>
        <w:ind w:left="708"/>
        <w:rPr>
          <w:rFonts w:ascii="Tahoma" w:eastAsia="Times New Roman" w:hAnsi="Tahoma" w:cs="Tahoma"/>
          <w:sz w:val="21"/>
          <w:szCs w:val="21"/>
          <w:lang w:eastAsia="es-ES"/>
        </w:rPr>
      </w:pPr>
    </w:p>
    <w:p w:rsidR="00EE792B" w:rsidRPr="00EE792B" w:rsidRDefault="00EE792B" w:rsidP="00EE792B">
      <w:pPr>
        <w:numPr>
          <w:ilvl w:val="0"/>
          <w:numId w:val="10"/>
        </w:numPr>
        <w:tabs>
          <w:tab w:val="left" w:pos="4678"/>
        </w:tabs>
        <w:spacing w:after="0" w:line="240" w:lineRule="auto"/>
        <w:jc w:val="both"/>
        <w:rPr>
          <w:rFonts w:ascii="Tahoma" w:eastAsia="Times New Roman" w:hAnsi="Tahoma" w:cs="Tahoma"/>
          <w:sz w:val="21"/>
          <w:szCs w:val="21"/>
          <w:lang w:eastAsia="es-ES"/>
        </w:rPr>
      </w:pPr>
      <w:r w:rsidRPr="00EE792B">
        <w:rPr>
          <w:rFonts w:ascii="Tahoma" w:eastAsia="Times New Roman" w:hAnsi="Tahoma" w:cs="Tahoma"/>
          <w:sz w:val="21"/>
          <w:szCs w:val="21"/>
          <w:lang w:eastAsia="es-ES"/>
        </w:rPr>
        <w:t xml:space="preserve">De esta forma, este Colegiado considera que la Entidad debió tener en cuenta la Declaración Jurada de </w:t>
      </w:r>
      <w:r w:rsidRPr="00EE792B">
        <w:rPr>
          <w:rFonts w:ascii="Tahoma" w:eastAsia="Times New Roman" w:hAnsi="Tahoma" w:cs="Tahoma"/>
          <w:sz w:val="21"/>
          <w:szCs w:val="21"/>
          <w:lang w:val="es-ES" w:eastAsia="es-ES"/>
        </w:rPr>
        <w:t>de Ofertar un mismo Lote por año</w:t>
      </w:r>
      <w:r w:rsidRPr="00EE792B">
        <w:rPr>
          <w:rFonts w:ascii="Tahoma" w:eastAsia="Times New Roman" w:hAnsi="Tahoma" w:cs="Tahoma"/>
          <w:sz w:val="21"/>
          <w:szCs w:val="21"/>
          <w:lang w:eastAsia="es-ES"/>
        </w:rPr>
        <w:t xml:space="preserve">, la cual se encuentra en el </w:t>
      </w:r>
      <w:r w:rsidRPr="00EE792B">
        <w:rPr>
          <w:rFonts w:ascii="Tahoma" w:eastAsia="Times New Roman" w:hAnsi="Tahoma" w:cs="Tahoma"/>
          <w:sz w:val="21"/>
          <w:szCs w:val="21"/>
          <w:lang w:val="es-ES" w:eastAsia="es-ES"/>
        </w:rPr>
        <w:t>folio 425 de los antecedentes remitidos por la Entidad</w:t>
      </w:r>
      <w:r w:rsidRPr="00EE792B">
        <w:rPr>
          <w:rFonts w:ascii="Tahoma" w:eastAsia="Times New Roman" w:hAnsi="Tahoma" w:cs="Tahoma"/>
          <w:sz w:val="21"/>
          <w:szCs w:val="21"/>
          <w:lang w:eastAsia="es-ES"/>
        </w:rPr>
        <w:t>, para efectos de evaluación en el factor de calidad de los reactivos ofertados, en atención a ello, y  luego de evaluación del documento antes citado, el cuadro de puntaje es como sigue:</w:t>
      </w:r>
    </w:p>
    <w:p w:rsidR="00EE792B" w:rsidRPr="00EE792B" w:rsidRDefault="00EE792B" w:rsidP="00EE792B">
      <w:pPr>
        <w:tabs>
          <w:tab w:val="left" w:pos="4678"/>
        </w:tabs>
        <w:spacing w:after="0" w:line="240" w:lineRule="auto"/>
        <w:ind w:left="454"/>
        <w:jc w:val="both"/>
        <w:rPr>
          <w:rFonts w:ascii="Tahoma" w:eastAsia="Times New Roman" w:hAnsi="Tahoma" w:cs="Tahoma"/>
          <w:sz w:val="21"/>
          <w:szCs w:val="21"/>
          <w:lang w:eastAsia="es-ES"/>
        </w:rPr>
      </w:pPr>
    </w:p>
    <w:tbl>
      <w:tblPr>
        <w:tblStyle w:val="Tablaconcuadrcula"/>
        <w:tblW w:w="8933" w:type="dxa"/>
        <w:tblLayout w:type="fixed"/>
        <w:tblLook w:val="04A0"/>
      </w:tblPr>
      <w:tblGrid>
        <w:gridCol w:w="1586"/>
        <w:gridCol w:w="1276"/>
        <w:gridCol w:w="1701"/>
        <w:gridCol w:w="1701"/>
        <w:gridCol w:w="1418"/>
        <w:gridCol w:w="1251"/>
      </w:tblGrid>
      <w:tr w:rsidR="00EE792B" w:rsidRPr="00EE792B" w:rsidTr="00654A9E">
        <w:tc>
          <w:tcPr>
            <w:tcW w:w="1586" w:type="dxa"/>
            <w:tcBorders>
              <w:top w:val="triple" w:sz="4" w:space="0" w:color="auto"/>
              <w:left w:val="triple" w:sz="4" w:space="0" w:color="auto"/>
              <w:bottom w:val="triple" w:sz="4" w:space="0" w:color="auto"/>
              <w:right w:val="triple" w:sz="4" w:space="0" w:color="auto"/>
            </w:tcBorders>
            <w:vAlign w:val="center"/>
          </w:tcPr>
          <w:p w:rsidR="00EE792B" w:rsidRPr="00EE792B" w:rsidRDefault="00EE792B" w:rsidP="00EE792B">
            <w:pPr>
              <w:tabs>
                <w:tab w:val="num" w:pos="644"/>
              </w:tabs>
              <w:jc w:val="center"/>
              <w:rPr>
                <w:rFonts w:ascii="Tahoma" w:hAnsi="Tahoma" w:cs="Tahoma"/>
                <w:b/>
                <w:bCs/>
                <w:sz w:val="21"/>
                <w:szCs w:val="21"/>
              </w:rPr>
            </w:pPr>
            <w:r w:rsidRPr="00EE792B">
              <w:rPr>
                <w:rFonts w:ascii="Tahoma" w:hAnsi="Tahoma" w:cs="Tahoma"/>
                <w:b/>
                <w:bCs/>
                <w:sz w:val="21"/>
                <w:szCs w:val="21"/>
              </w:rPr>
              <w:t>Postor</w:t>
            </w:r>
          </w:p>
        </w:tc>
        <w:tc>
          <w:tcPr>
            <w:tcW w:w="1276" w:type="dxa"/>
            <w:tcBorders>
              <w:top w:val="triple" w:sz="4" w:space="0" w:color="auto"/>
              <w:left w:val="triple" w:sz="4" w:space="0" w:color="auto"/>
              <w:bottom w:val="triple" w:sz="4" w:space="0" w:color="auto"/>
              <w:right w:val="triple" w:sz="4" w:space="0" w:color="auto"/>
            </w:tcBorders>
            <w:vAlign w:val="center"/>
          </w:tcPr>
          <w:p w:rsidR="00EE792B" w:rsidRPr="00EE792B" w:rsidRDefault="00EE792B" w:rsidP="00EE792B">
            <w:pPr>
              <w:tabs>
                <w:tab w:val="num" w:pos="644"/>
              </w:tabs>
              <w:jc w:val="center"/>
              <w:rPr>
                <w:rFonts w:ascii="Tahoma" w:hAnsi="Tahoma" w:cs="Tahoma"/>
                <w:b/>
                <w:bCs/>
                <w:sz w:val="21"/>
                <w:szCs w:val="21"/>
              </w:rPr>
            </w:pPr>
            <w:r w:rsidRPr="00EE792B">
              <w:rPr>
                <w:rFonts w:ascii="Tahoma" w:hAnsi="Tahoma" w:cs="Tahoma"/>
                <w:b/>
                <w:bCs/>
                <w:sz w:val="21"/>
                <w:szCs w:val="21"/>
              </w:rPr>
              <w:t>Puntaje Técnico</w:t>
            </w:r>
          </w:p>
        </w:tc>
        <w:tc>
          <w:tcPr>
            <w:tcW w:w="1701" w:type="dxa"/>
            <w:tcBorders>
              <w:top w:val="triple" w:sz="4" w:space="0" w:color="auto"/>
              <w:left w:val="triple" w:sz="4" w:space="0" w:color="auto"/>
              <w:bottom w:val="triple" w:sz="4" w:space="0" w:color="auto"/>
              <w:right w:val="triple" w:sz="4" w:space="0" w:color="auto"/>
            </w:tcBorders>
            <w:vAlign w:val="center"/>
          </w:tcPr>
          <w:p w:rsidR="00EE792B" w:rsidRPr="00EE792B" w:rsidRDefault="00EE792B" w:rsidP="00EE792B">
            <w:pPr>
              <w:tabs>
                <w:tab w:val="num" w:pos="644"/>
              </w:tabs>
              <w:jc w:val="center"/>
              <w:rPr>
                <w:rFonts w:ascii="Tahoma" w:hAnsi="Tahoma" w:cs="Tahoma"/>
                <w:b/>
                <w:bCs/>
                <w:sz w:val="21"/>
                <w:szCs w:val="21"/>
              </w:rPr>
            </w:pPr>
            <w:r w:rsidRPr="00EE792B">
              <w:rPr>
                <w:rFonts w:ascii="Tahoma" w:hAnsi="Tahoma" w:cs="Tahoma"/>
                <w:b/>
                <w:bCs/>
                <w:sz w:val="21"/>
                <w:szCs w:val="21"/>
              </w:rPr>
              <w:t>Propuesta Económica</w:t>
            </w:r>
          </w:p>
        </w:tc>
        <w:tc>
          <w:tcPr>
            <w:tcW w:w="1701" w:type="dxa"/>
            <w:tcBorders>
              <w:top w:val="triple" w:sz="4" w:space="0" w:color="auto"/>
              <w:left w:val="triple" w:sz="4" w:space="0" w:color="auto"/>
              <w:bottom w:val="triple" w:sz="4" w:space="0" w:color="auto"/>
              <w:right w:val="triple" w:sz="4" w:space="0" w:color="auto"/>
            </w:tcBorders>
            <w:vAlign w:val="center"/>
          </w:tcPr>
          <w:p w:rsidR="00EE792B" w:rsidRPr="00EE792B" w:rsidRDefault="00EE792B" w:rsidP="00EE792B">
            <w:pPr>
              <w:tabs>
                <w:tab w:val="num" w:pos="644"/>
              </w:tabs>
              <w:jc w:val="center"/>
              <w:rPr>
                <w:rFonts w:ascii="Tahoma" w:hAnsi="Tahoma" w:cs="Tahoma"/>
                <w:b/>
                <w:bCs/>
                <w:sz w:val="21"/>
                <w:szCs w:val="21"/>
              </w:rPr>
            </w:pPr>
            <w:r w:rsidRPr="00EE792B">
              <w:rPr>
                <w:rFonts w:ascii="Tahoma" w:hAnsi="Tahoma" w:cs="Tahoma"/>
                <w:b/>
                <w:bCs/>
                <w:sz w:val="21"/>
                <w:szCs w:val="21"/>
              </w:rPr>
              <w:t>Puntaje de propuesta económica</w:t>
            </w:r>
          </w:p>
        </w:tc>
        <w:tc>
          <w:tcPr>
            <w:tcW w:w="1418" w:type="dxa"/>
            <w:tcBorders>
              <w:top w:val="triple" w:sz="4" w:space="0" w:color="auto"/>
              <w:left w:val="triple" w:sz="4" w:space="0" w:color="auto"/>
              <w:bottom w:val="triple" w:sz="4" w:space="0" w:color="auto"/>
              <w:right w:val="triple" w:sz="4" w:space="0" w:color="auto"/>
            </w:tcBorders>
            <w:vAlign w:val="center"/>
          </w:tcPr>
          <w:p w:rsidR="00EE792B" w:rsidRPr="00EE792B" w:rsidRDefault="00EE792B" w:rsidP="00EE792B">
            <w:pPr>
              <w:tabs>
                <w:tab w:val="num" w:pos="644"/>
              </w:tabs>
              <w:jc w:val="center"/>
              <w:rPr>
                <w:rFonts w:ascii="Tahoma" w:hAnsi="Tahoma" w:cs="Tahoma"/>
                <w:b/>
                <w:bCs/>
                <w:sz w:val="21"/>
                <w:szCs w:val="21"/>
              </w:rPr>
            </w:pPr>
            <w:r w:rsidRPr="00EE792B">
              <w:rPr>
                <w:rFonts w:ascii="Tahoma" w:hAnsi="Tahoma" w:cs="Tahoma"/>
                <w:b/>
                <w:bCs/>
                <w:sz w:val="21"/>
                <w:szCs w:val="21"/>
              </w:rPr>
              <w:t>Puntaje final</w:t>
            </w:r>
          </w:p>
        </w:tc>
        <w:tc>
          <w:tcPr>
            <w:tcW w:w="1251" w:type="dxa"/>
            <w:tcBorders>
              <w:top w:val="triple" w:sz="4" w:space="0" w:color="auto"/>
              <w:left w:val="triple" w:sz="4" w:space="0" w:color="auto"/>
              <w:bottom w:val="triple" w:sz="4" w:space="0" w:color="auto"/>
              <w:right w:val="triple" w:sz="4" w:space="0" w:color="auto"/>
            </w:tcBorders>
            <w:vAlign w:val="center"/>
          </w:tcPr>
          <w:p w:rsidR="00EE792B" w:rsidRPr="00EE792B" w:rsidRDefault="00EE792B" w:rsidP="00EE792B">
            <w:pPr>
              <w:tabs>
                <w:tab w:val="num" w:pos="644"/>
              </w:tabs>
              <w:jc w:val="center"/>
              <w:rPr>
                <w:rFonts w:ascii="Tahoma" w:hAnsi="Tahoma" w:cs="Tahoma"/>
                <w:b/>
                <w:bCs/>
                <w:sz w:val="21"/>
                <w:szCs w:val="21"/>
              </w:rPr>
            </w:pPr>
            <w:r w:rsidRPr="00EE792B">
              <w:rPr>
                <w:rFonts w:ascii="Tahoma" w:hAnsi="Tahoma" w:cs="Tahoma"/>
                <w:b/>
                <w:bCs/>
                <w:sz w:val="21"/>
                <w:szCs w:val="21"/>
              </w:rPr>
              <w:t>Orden de Prelación</w:t>
            </w:r>
          </w:p>
        </w:tc>
      </w:tr>
      <w:tr w:rsidR="00EE792B" w:rsidRPr="00EE792B" w:rsidTr="00654A9E">
        <w:tc>
          <w:tcPr>
            <w:tcW w:w="1586" w:type="dxa"/>
            <w:tcBorders>
              <w:top w:val="triple" w:sz="4" w:space="0" w:color="auto"/>
            </w:tcBorders>
            <w:vAlign w:val="center"/>
          </w:tcPr>
          <w:p w:rsidR="00EE792B" w:rsidRPr="00C507D2" w:rsidRDefault="00EE792B" w:rsidP="00EE792B">
            <w:pPr>
              <w:tabs>
                <w:tab w:val="num" w:pos="644"/>
              </w:tabs>
              <w:jc w:val="center"/>
              <w:rPr>
                <w:rFonts w:ascii="Tahoma" w:hAnsi="Tahoma" w:cs="Tahoma"/>
                <w:bCs/>
                <w:sz w:val="21"/>
                <w:szCs w:val="21"/>
                <w:lang w:val="es-ES"/>
              </w:rPr>
            </w:pPr>
            <w:r w:rsidRPr="00C507D2">
              <w:rPr>
                <w:rFonts w:ascii="Tahoma" w:hAnsi="Tahoma" w:cs="Tahoma"/>
                <w:sz w:val="21"/>
                <w:szCs w:val="21"/>
                <w:lang w:val="es-ES"/>
              </w:rPr>
              <w:t>REPRESENTACIONES MÉDICAS DEL PERÚ S.R.L.</w:t>
            </w:r>
          </w:p>
        </w:tc>
        <w:tc>
          <w:tcPr>
            <w:tcW w:w="1276" w:type="dxa"/>
            <w:tcBorders>
              <w:top w:val="triple" w:sz="4" w:space="0" w:color="auto"/>
            </w:tcBorders>
            <w:vAlign w:val="center"/>
          </w:tcPr>
          <w:p w:rsidR="00EE792B" w:rsidRPr="00EE792B" w:rsidRDefault="00EE792B" w:rsidP="00EE792B">
            <w:pPr>
              <w:tabs>
                <w:tab w:val="num" w:pos="644"/>
              </w:tabs>
              <w:jc w:val="center"/>
              <w:rPr>
                <w:rFonts w:ascii="Tahoma" w:hAnsi="Tahoma" w:cs="Tahoma"/>
                <w:bCs/>
                <w:sz w:val="21"/>
                <w:szCs w:val="21"/>
                <w:lang w:val="en-US"/>
              </w:rPr>
            </w:pPr>
            <w:r w:rsidRPr="00EE792B">
              <w:rPr>
                <w:rFonts w:ascii="Tahoma" w:hAnsi="Tahoma" w:cs="Tahoma"/>
                <w:bCs/>
                <w:sz w:val="21"/>
                <w:szCs w:val="21"/>
                <w:lang w:val="en-US"/>
              </w:rPr>
              <w:t>80</w:t>
            </w:r>
          </w:p>
        </w:tc>
        <w:tc>
          <w:tcPr>
            <w:tcW w:w="1701" w:type="dxa"/>
            <w:tcBorders>
              <w:top w:val="triple" w:sz="4" w:space="0" w:color="auto"/>
            </w:tcBorders>
            <w:vAlign w:val="center"/>
          </w:tcPr>
          <w:p w:rsidR="00EE792B" w:rsidRPr="00EE792B" w:rsidRDefault="00EE792B" w:rsidP="00EE792B">
            <w:pPr>
              <w:tabs>
                <w:tab w:val="num" w:pos="644"/>
              </w:tabs>
              <w:rPr>
                <w:rFonts w:ascii="Tahoma" w:hAnsi="Tahoma" w:cs="Tahoma"/>
                <w:bCs/>
                <w:sz w:val="21"/>
                <w:szCs w:val="21"/>
                <w:lang w:val="en-US"/>
              </w:rPr>
            </w:pPr>
            <w:r w:rsidRPr="00EE792B">
              <w:rPr>
                <w:rFonts w:ascii="Tahoma" w:hAnsi="Tahoma" w:cs="Tahoma"/>
                <w:bCs/>
                <w:sz w:val="21"/>
                <w:szCs w:val="21"/>
                <w:lang w:val="en-US"/>
              </w:rPr>
              <w:t>S/. 690,600.00</w:t>
            </w:r>
          </w:p>
        </w:tc>
        <w:tc>
          <w:tcPr>
            <w:tcW w:w="1701" w:type="dxa"/>
            <w:tcBorders>
              <w:top w:val="triple" w:sz="4" w:space="0" w:color="auto"/>
            </w:tcBorders>
            <w:vAlign w:val="center"/>
          </w:tcPr>
          <w:p w:rsidR="00EE792B" w:rsidRPr="00EE792B" w:rsidRDefault="00EE792B" w:rsidP="00EE792B">
            <w:pPr>
              <w:tabs>
                <w:tab w:val="num" w:pos="644"/>
              </w:tabs>
              <w:jc w:val="center"/>
              <w:rPr>
                <w:rFonts w:ascii="Tahoma" w:hAnsi="Tahoma" w:cs="Tahoma"/>
                <w:bCs/>
                <w:sz w:val="21"/>
                <w:szCs w:val="21"/>
                <w:lang w:val="en-US"/>
              </w:rPr>
            </w:pPr>
            <w:r w:rsidRPr="00EE792B">
              <w:rPr>
                <w:rFonts w:ascii="Tahoma" w:hAnsi="Tahoma" w:cs="Tahoma"/>
                <w:bCs/>
                <w:sz w:val="21"/>
                <w:szCs w:val="21"/>
                <w:lang w:val="en-US"/>
              </w:rPr>
              <w:t xml:space="preserve">100 </w:t>
            </w:r>
          </w:p>
        </w:tc>
        <w:tc>
          <w:tcPr>
            <w:tcW w:w="1418" w:type="dxa"/>
            <w:tcBorders>
              <w:top w:val="triple" w:sz="4" w:space="0" w:color="auto"/>
            </w:tcBorders>
            <w:vAlign w:val="center"/>
          </w:tcPr>
          <w:p w:rsidR="00EE792B" w:rsidRPr="00EE792B" w:rsidRDefault="00EE792B" w:rsidP="00EE792B">
            <w:pPr>
              <w:tabs>
                <w:tab w:val="num" w:pos="644"/>
              </w:tabs>
              <w:jc w:val="center"/>
              <w:rPr>
                <w:rFonts w:ascii="Tahoma" w:hAnsi="Tahoma" w:cs="Tahoma"/>
                <w:bCs/>
                <w:sz w:val="21"/>
                <w:szCs w:val="21"/>
                <w:lang w:val="en-US"/>
              </w:rPr>
            </w:pPr>
            <w:r w:rsidRPr="00EE792B">
              <w:rPr>
                <w:rFonts w:ascii="Tahoma" w:hAnsi="Tahoma" w:cs="Tahoma"/>
                <w:bCs/>
                <w:sz w:val="21"/>
                <w:szCs w:val="21"/>
                <w:lang w:val="en-US"/>
              </w:rPr>
              <w:t>86</w:t>
            </w:r>
          </w:p>
        </w:tc>
        <w:tc>
          <w:tcPr>
            <w:tcW w:w="1251" w:type="dxa"/>
            <w:tcBorders>
              <w:top w:val="triple" w:sz="4" w:space="0" w:color="auto"/>
            </w:tcBorders>
            <w:vAlign w:val="center"/>
          </w:tcPr>
          <w:p w:rsidR="00EE792B" w:rsidRPr="00EE792B" w:rsidRDefault="00EE792B" w:rsidP="00EE792B">
            <w:pPr>
              <w:tabs>
                <w:tab w:val="num" w:pos="644"/>
              </w:tabs>
              <w:jc w:val="center"/>
              <w:rPr>
                <w:rFonts w:ascii="Tahoma" w:hAnsi="Tahoma" w:cs="Tahoma"/>
                <w:bCs/>
                <w:sz w:val="21"/>
                <w:szCs w:val="21"/>
                <w:lang w:val="en-US"/>
              </w:rPr>
            </w:pPr>
            <w:r w:rsidRPr="00EE792B">
              <w:rPr>
                <w:rFonts w:ascii="Tahoma" w:hAnsi="Tahoma" w:cs="Tahoma"/>
                <w:bCs/>
                <w:sz w:val="21"/>
                <w:szCs w:val="21"/>
                <w:lang w:val="en-US"/>
              </w:rPr>
              <w:t>2º</w:t>
            </w:r>
          </w:p>
        </w:tc>
      </w:tr>
      <w:tr w:rsidR="00EE792B" w:rsidRPr="00EE792B" w:rsidTr="00654A9E">
        <w:tc>
          <w:tcPr>
            <w:tcW w:w="1586" w:type="dxa"/>
            <w:vAlign w:val="center"/>
          </w:tcPr>
          <w:p w:rsidR="00EE792B" w:rsidRPr="00C507D2" w:rsidRDefault="00EE792B" w:rsidP="00EE792B">
            <w:pPr>
              <w:tabs>
                <w:tab w:val="num" w:pos="644"/>
              </w:tabs>
              <w:jc w:val="center"/>
              <w:rPr>
                <w:rFonts w:ascii="Tahoma" w:hAnsi="Tahoma" w:cs="Tahoma"/>
                <w:bCs/>
                <w:sz w:val="21"/>
                <w:szCs w:val="21"/>
                <w:lang w:val="es-ES"/>
              </w:rPr>
            </w:pPr>
            <w:r w:rsidRPr="00C507D2">
              <w:rPr>
                <w:rFonts w:ascii="Tahoma" w:hAnsi="Tahoma" w:cs="Tahoma"/>
                <w:bCs/>
                <w:sz w:val="21"/>
                <w:szCs w:val="21"/>
                <w:lang w:val="es-ES"/>
              </w:rPr>
              <w:t>ROCHEM BIOCARE DEL PERÚ S.A.C.</w:t>
            </w:r>
          </w:p>
        </w:tc>
        <w:tc>
          <w:tcPr>
            <w:tcW w:w="1276" w:type="dxa"/>
            <w:vAlign w:val="center"/>
          </w:tcPr>
          <w:p w:rsidR="00EE792B" w:rsidRPr="00EE792B" w:rsidRDefault="00EE792B" w:rsidP="00EE792B">
            <w:pPr>
              <w:tabs>
                <w:tab w:val="num" w:pos="644"/>
              </w:tabs>
              <w:jc w:val="center"/>
              <w:rPr>
                <w:rFonts w:ascii="Tahoma" w:hAnsi="Tahoma" w:cs="Tahoma"/>
                <w:bCs/>
                <w:sz w:val="21"/>
                <w:szCs w:val="21"/>
                <w:lang w:val="en-US"/>
              </w:rPr>
            </w:pPr>
            <w:r w:rsidRPr="00EE792B">
              <w:rPr>
                <w:rFonts w:ascii="Tahoma" w:hAnsi="Tahoma" w:cs="Tahoma"/>
                <w:bCs/>
                <w:sz w:val="21"/>
                <w:szCs w:val="21"/>
                <w:lang w:val="en-US"/>
              </w:rPr>
              <w:t>70</w:t>
            </w:r>
          </w:p>
        </w:tc>
        <w:tc>
          <w:tcPr>
            <w:tcW w:w="1701" w:type="dxa"/>
            <w:vAlign w:val="center"/>
          </w:tcPr>
          <w:p w:rsidR="00EE792B" w:rsidRPr="00EE792B" w:rsidRDefault="00EE792B" w:rsidP="00EE792B">
            <w:pPr>
              <w:tabs>
                <w:tab w:val="num" w:pos="644"/>
              </w:tabs>
              <w:jc w:val="center"/>
              <w:rPr>
                <w:rFonts w:ascii="Tahoma" w:hAnsi="Tahoma" w:cs="Tahoma"/>
                <w:bCs/>
                <w:sz w:val="21"/>
                <w:szCs w:val="21"/>
                <w:lang w:val="en-US"/>
              </w:rPr>
            </w:pPr>
            <w:r w:rsidRPr="00EE792B">
              <w:rPr>
                <w:rFonts w:ascii="Tahoma" w:hAnsi="Tahoma" w:cs="Tahoma"/>
                <w:bCs/>
                <w:sz w:val="21"/>
                <w:szCs w:val="21"/>
                <w:lang w:val="en-US"/>
              </w:rPr>
              <w:t>S/. 810, 000.00</w:t>
            </w:r>
          </w:p>
        </w:tc>
        <w:tc>
          <w:tcPr>
            <w:tcW w:w="1701" w:type="dxa"/>
            <w:vAlign w:val="center"/>
          </w:tcPr>
          <w:p w:rsidR="00EE792B" w:rsidRPr="00EE792B" w:rsidRDefault="00EE792B" w:rsidP="00EE792B">
            <w:pPr>
              <w:tabs>
                <w:tab w:val="num" w:pos="644"/>
              </w:tabs>
              <w:jc w:val="center"/>
              <w:rPr>
                <w:rFonts w:ascii="Tahoma" w:hAnsi="Tahoma" w:cs="Tahoma"/>
                <w:bCs/>
                <w:sz w:val="21"/>
                <w:szCs w:val="21"/>
                <w:lang w:val="en-US"/>
              </w:rPr>
            </w:pPr>
            <w:r w:rsidRPr="00EE792B">
              <w:rPr>
                <w:rFonts w:ascii="Tahoma" w:hAnsi="Tahoma" w:cs="Tahoma"/>
                <w:bCs/>
                <w:sz w:val="21"/>
                <w:szCs w:val="21"/>
                <w:lang w:val="en-US"/>
              </w:rPr>
              <w:t>85.26</w:t>
            </w:r>
          </w:p>
        </w:tc>
        <w:tc>
          <w:tcPr>
            <w:tcW w:w="1418" w:type="dxa"/>
            <w:vAlign w:val="center"/>
          </w:tcPr>
          <w:p w:rsidR="00EE792B" w:rsidRPr="00EE792B" w:rsidRDefault="00EE792B" w:rsidP="00EE792B">
            <w:pPr>
              <w:tabs>
                <w:tab w:val="num" w:pos="644"/>
              </w:tabs>
              <w:jc w:val="center"/>
              <w:rPr>
                <w:rFonts w:ascii="Tahoma" w:hAnsi="Tahoma" w:cs="Tahoma"/>
                <w:bCs/>
                <w:sz w:val="21"/>
                <w:szCs w:val="21"/>
                <w:lang w:val="en-US"/>
              </w:rPr>
            </w:pPr>
            <w:r w:rsidRPr="00EE792B">
              <w:rPr>
                <w:rFonts w:ascii="Tahoma" w:hAnsi="Tahoma" w:cs="Tahoma"/>
                <w:bCs/>
                <w:sz w:val="21"/>
                <w:szCs w:val="21"/>
                <w:lang w:val="en-US"/>
              </w:rPr>
              <w:t>74.58</w:t>
            </w:r>
          </w:p>
        </w:tc>
        <w:tc>
          <w:tcPr>
            <w:tcW w:w="1251" w:type="dxa"/>
            <w:vAlign w:val="center"/>
          </w:tcPr>
          <w:p w:rsidR="00EE792B" w:rsidRPr="00EE792B" w:rsidRDefault="00EE792B" w:rsidP="00EE792B">
            <w:pPr>
              <w:tabs>
                <w:tab w:val="num" w:pos="644"/>
              </w:tabs>
              <w:jc w:val="center"/>
              <w:rPr>
                <w:rFonts w:ascii="Tahoma" w:hAnsi="Tahoma" w:cs="Tahoma"/>
                <w:bCs/>
                <w:sz w:val="21"/>
                <w:szCs w:val="21"/>
                <w:lang w:val="en-US"/>
              </w:rPr>
            </w:pPr>
            <w:r w:rsidRPr="00EE792B">
              <w:rPr>
                <w:rFonts w:ascii="Tahoma" w:hAnsi="Tahoma" w:cs="Tahoma"/>
                <w:bCs/>
                <w:sz w:val="21"/>
                <w:szCs w:val="21"/>
                <w:lang w:val="en-US"/>
              </w:rPr>
              <w:t>3º</w:t>
            </w:r>
          </w:p>
        </w:tc>
      </w:tr>
      <w:tr w:rsidR="00EE792B" w:rsidRPr="00EE792B" w:rsidTr="00654A9E">
        <w:tc>
          <w:tcPr>
            <w:tcW w:w="1586" w:type="dxa"/>
            <w:vAlign w:val="center"/>
          </w:tcPr>
          <w:p w:rsidR="00EE792B" w:rsidRPr="00EE792B" w:rsidRDefault="00EE792B" w:rsidP="00EE792B">
            <w:pPr>
              <w:tabs>
                <w:tab w:val="num" w:pos="644"/>
              </w:tabs>
              <w:jc w:val="center"/>
              <w:rPr>
                <w:rFonts w:ascii="Tahoma" w:hAnsi="Tahoma" w:cs="Tahoma"/>
                <w:bCs/>
                <w:sz w:val="21"/>
                <w:szCs w:val="21"/>
              </w:rPr>
            </w:pPr>
            <w:r w:rsidRPr="00EE792B">
              <w:rPr>
                <w:rFonts w:ascii="Tahoma" w:hAnsi="Tahoma" w:cs="Tahoma"/>
                <w:bCs/>
                <w:sz w:val="21"/>
                <w:szCs w:val="21"/>
              </w:rPr>
              <w:t>LABDEALERS S.A.</w:t>
            </w:r>
          </w:p>
        </w:tc>
        <w:tc>
          <w:tcPr>
            <w:tcW w:w="1276" w:type="dxa"/>
            <w:vAlign w:val="center"/>
          </w:tcPr>
          <w:p w:rsidR="00EE792B" w:rsidRPr="00EE792B" w:rsidRDefault="00EE792B" w:rsidP="00EE792B">
            <w:pPr>
              <w:tabs>
                <w:tab w:val="num" w:pos="644"/>
              </w:tabs>
              <w:jc w:val="center"/>
              <w:rPr>
                <w:rFonts w:ascii="Tahoma" w:hAnsi="Tahoma" w:cs="Tahoma"/>
                <w:bCs/>
                <w:sz w:val="21"/>
                <w:szCs w:val="21"/>
              </w:rPr>
            </w:pPr>
            <w:r w:rsidRPr="00EE792B">
              <w:rPr>
                <w:rFonts w:ascii="Tahoma" w:hAnsi="Tahoma" w:cs="Tahoma"/>
                <w:bCs/>
                <w:sz w:val="21"/>
                <w:szCs w:val="21"/>
              </w:rPr>
              <w:t>90</w:t>
            </w:r>
          </w:p>
        </w:tc>
        <w:tc>
          <w:tcPr>
            <w:tcW w:w="1701" w:type="dxa"/>
            <w:vAlign w:val="center"/>
          </w:tcPr>
          <w:p w:rsidR="00EE792B" w:rsidRPr="00EE792B" w:rsidRDefault="00EE792B" w:rsidP="00EE792B">
            <w:pPr>
              <w:tabs>
                <w:tab w:val="num" w:pos="644"/>
              </w:tabs>
              <w:jc w:val="center"/>
              <w:rPr>
                <w:rFonts w:ascii="Tahoma" w:hAnsi="Tahoma" w:cs="Tahoma"/>
                <w:bCs/>
                <w:sz w:val="21"/>
                <w:szCs w:val="21"/>
              </w:rPr>
            </w:pPr>
            <w:r w:rsidRPr="00EE792B">
              <w:rPr>
                <w:rFonts w:ascii="Tahoma" w:hAnsi="Tahoma" w:cs="Tahoma"/>
                <w:bCs/>
                <w:sz w:val="21"/>
                <w:szCs w:val="21"/>
                <w:lang w:val="en-US"/>
              </w:rPr>
              <w:t>S/. 776, 420.17</w:t>
            </w:r>
          </w:p>
        </w:tc>
        <w:tc>
          <w:tcPr>
            <w:tcW w:w="1701" w:type="dxa"/>
            <w:vAlign w:val="center"/>
          </w:tcPr>
          <w:p w:rsidR="00EE792B" w:rsidRPr="00EE792B" w:rsidRDefault="00EE792B" w:rsidP="00EE792B">
            <w:pPr>
              <w:tabs>
                <w:tab w:val="num" w:pos="644"/>
              </w:tabs>
              <w:jc w:val="center"/>
              <w:rPr>
                <w:rFonts w:ascii="Tahoma" w:hAnsi="Tahoma" w:cs="Tahoma"/>
                <w:bCs/>
                <w:sz w:val="21"/>
                <w:szCs w:val="21"/>
              </w:rPr>
            </w:pPr>
            <w:r w:rsidRPr="00EE792B">
              <w:rPr>
                <w:rFonts w:ascii="Tahoma" w:hAnsi="Tahoma" w:cs="Tahoma"/>
                <w:bCs/>
                <w:sz w:val="21"/>
                <w:szCs w:val="21"/>
              </w:rPr>
              <w:t>88.95</w:t>
            </w:r>
          </w:p>
        </w:tc>
        <w:tc>
          <w:tcPr>
            <w:tcW w:w="1418" w:type="dxa"/>
            <w:vAlign w:val="center"/>
          </w:tcPr>
          <w:p w:rsidR="00EE792B" w:rsidRPr="00EE792B" w:rsidRDefault="00EE792B" w:rsidP="00EE792B">
            <w:pPr>
              <w:tabs>
                <w:tab w:val="num" w:pos="644"/>
              </w:tabs>
              <w:jc w:val="center"/>
              <w:rPr>
                <w:rFonts w:ascii="Tahoma" w:hAnsi="Tahoma" w:cs="Tahoma"/>
                <w:bCs/>
                <w:sz w:val="21"/>
                <w:szCs w:val="21"/>
              </w:rPr>
            </w:pPr>
            <w:r w:rsidRPr="00EE792B">
              <w:rPr>
                <w:rFonts w:ascii="Tahoma" w:hAnsi="Tahoma" w:cs="Tahoma"/>
                <w:bCs/>
                <w:sz w:val="21"/>
                <w:szCs w:val="21"/>
              </w:rPr>
              <w:t>89.69</w:t>
            </w:r>
          </w:p>
        </w:tc>
        <w:tc>
          <w:tcPr>
            <w:tcW w:w="1251" w:type="dxa"/>
            <w:vAlign w:val="center"/>
          </w:tcPr>
          <w:p w:rsidR="00EE792B" w:rsidRPr="00EE792B" w:rsidRDefault="00EE792B" w:rsidP="00EE792B">
            <w:pPr>
              <w:tabs>
                <w:tab w:val="num" w:pos="644"/>
              </w:tabs>
              <w:jc w:val="center"/>
              <w:rPr>
                <w:rFonts w:ascii="Tahoma" w:hAnsi="Tahoma" w:cs="Tahoma"/>
                <w:bCs/>
                <w:sz w:val="21"/>
                <w:szCs w:val="21"/>
              </w:rPr>
            </w:pPr>
            <w:r w:rsidRPr="00EE792B">
              <w:rPr>
                <w:rFonts w:ascii="Tahoma" w:hAnsi="Tahoma" w:cs="Tahoma"/>
                <w:bCs/>
                <w:sz w:val="21"/>
                <w:szCs w:val="21"/>
              </w:rPr>
              <w:t>1º</w:t>
            </w:r>
          </w:p>
        </w:tc>
      </w:tr>
    </w:tbl>
    <w:p w:rsidR="00EE792B" w:rsidRPr="00EE792B" w:rsidRDefault="00EE792B" w:rsidP="00EE792B">
      <w:pPr>
        <w:tabs>
          <w:tab w:val="left" w:pos="4678"/>
        </w:tabs>
        <w:spacing w:after="0" w:line="240" w:lineRule="auto"/>
        <w:ind w:left="454"/>
        <w:jc w:val="both"/>
        <w:rPr>
          <w:rFonts w:ascii="Tahoma" w:eastAsia="Times New Roman" w:hAnsi="Tahoma" w:cs="Tahoma"/>
          <w:sz w:val="21"/>
          <w:szCs w:val="21"/>
          <w:lang w:eastAsia="es-ES"/>
        </w:rPr>
      </w:pPr>
    </w:p>
    <w:p w:rsidR="00EE792B" w:rsidRPr="00EE792B" w:rsidRDefault="00EE792B" w:rsidP="00EE792B">
      <w:pPr>
        <w:tabs>
          <w:tab w:val="num" w:pos="567"/>
        </w:tabs>
        <w:spacing w:after="0" w:line="240" w:lineRule="auto"/>
        <w:jc w:val="both"/>
        <w:rPr>
          <w:rFonts w:ascii="Tahoma" w:eastAsia="Times New Roman" w:hAnsi="Tahoma" w:cs="Tahoma"/>
          <w:sz w:val="21"/>
          <w:szCs w:val="21"/>
          <w:lang w:val="es-ES" w:eastAsia="es-ES"/>
        </w:rPr>
      </w:pPr>
    </w:p>
    <w:p w:rsidR="00EE792B" w:rsidRPr="00EE792B" w:rsidRDefault="00EE792B" w:rsidP="00EE792B">
      <w:pPr>
        <w:numPr>
          <w:ilvl w:val="0"/>
          <w:numId w:val="10"/>
        </w:numPr>
        <w:tabs>
          <w:tab w:val="num" w:pos="567"/>
        </w:tabs>
        <w:spacing w:after="0" w:line="240" w:lineRule="auto"/>
        <w:jc w:val="both"/>
        <w:rPr>
          <w:rFonts w:ascii="Tahoma" w:eastAsia="Times New Roman" w:hAnsi="Tahoma" w:cs="Tahoma"/>
          <w:sz w:val="21"/>
          <w:szCs w:val="21"/>
          <w:lang w:val="es-ES" w:eastAsia="es-ES"/>
        </w:rPr>
      </w:pPr>
      <w:r w:rsidRPr="00EE792B">
        <w:rPr>
          <w:rFonts w:ascii="Tahoma" w:eastAsia="Times New Roman" w:hAnsi="Tahoma" w:cs="Tahoma"/>
          <w:sz w:val="21"/>
          <w:szCs w:val="21"/>
          <w:lang w:val="es-ES" w:eastAsia="es-ES"/>
        </w:rPr>
        <w:t xml:space="preserve">Por lo tanto, en virtud de lo expuesto en los párrafos precedentes y en aplicación de lo dispuesto en el numeral 3 del artículo 119 del </w:t>
      </w:r>
      <w:r w:rsidRPr="00EE792B">
        <w:rPr>
          <w:rFonts w:ascii="Tahoma" w:eastAsia="Times New Roman" w:hAnsi="Tahoma" w:cs="Tahoma"/>
          <w:color w:val="000000"/>
          <w:sz w:val="21"/>
          <w:szCs w:val="21"/>
          <w:lang w:val="es-ES" w:eastAsia="es-ES"/>
        </w:rPr>
        <w:t>Reglamento de la Ley de Contrataciones del Estado, aprobado por Decreto Supremo Nº 184-2008-EF</w:t>
      </w:r>
      <w:r w:rsidRPr="00EE792B">
        <w:rPr>
          <w:rFonts w:ascii="Tahoma" w:eastAsia="Times New Roman" w:hAnsi="Tahoma" w:cs="Tahoma"/>
          <w:sz w:val="21"/>
          <w:szCs w:val="21"/>
          <w:lang w:val="es-ES" w:eastAsia="es-ES"/>
        </w:rPr>
        <w:t xml:space="preserve">, corresponde declarar fundado el recurso de apelación promovido por la empresa C &amp; E LABDEALERS SOCIEDAD ANÓNIMA., contra la calificación de su propuesta técnica y el otorgamiento de la buena pro; y, por su efecto, asignarle el puntaje de acuerdo al cuadro antes mencionado, y otorgarle la buena pro. </w:t>
      </w:r>
    </w:p>
    <w:p w:rsidR="00EE792B" w:rsidRPr="00EE792B" w:rsidRDefault="00EE792B" w:rsidP="00EE792B">
      <w:pPr>
        <w:spacing w:after="0" w:line="240" w:lineRule="auto"/>
        <w:ind w:firstLine="708"/>
        <w:rPr>
          <w:rFonts w:ascii="Tahoma" w:eastAsia="Times New Roman" w:hAnsi="Tahoma" w:cs="Tahoma"/>
          <w:b/>
          <w:sz w:val="21"/>
          <w:szCs w:val="21"/>
          <w:lang w:val="es-ES" w:eastAsia="es-ES"/>
        </w:rPr>
      </w:pPr>
    </w:p>
    <w:p w:rsidR="00EE792B" w:rsidRPr="00EE792B" w:rsidRDefault="00EE792B" w:rsidP="00EE792B">
      <w:pPr>
        <w:spacing w:after="0" w:line="240" w:lineRule="auto"/>
        <w:ind w:firstLine="708"/>
        <w:rPr>
          <w:rFonts w:ascii="Tahoma" w:eastAsia="Times New Roman" w:hAnsi="Tahoma" w:cs="Tahoma"/>
          <w:b/>
          <w:sz w:val="21"/>
          <w:szCs w:val="21"/>
          <w:lang w:val="es-ES" w:eastAsia="es-ES"/>
        </w:rPr>
      </w:pPr>
    </w:p>
    <w:p w:rsidR="00EE792B" w:rsidRPr="0056657A" w:rsidRDefault="0056657A" w:rsidP="00EE792B">
      <w:pPr>
        <w:tabs>
          <w:tab w:val="left" w:pos="180"/>
        </w:tabs>
        <w:spacing w:after="0" w:line="240" w:lineRule="auto"/>
        <w:ind w:left="180" w:firstLine="540"/>
        <w:jc w:val="both"/>
        <w:rPr>
          <w:rFonts w:ascii="Tahoma" w:eastAsia="Calibri" w:hAnsi="Tahoma" w:cs="Tahoma"/>
          <w:color w:val="000000"/>
          <w:sz w:val="21"/>
          <w:szCs w:val="21"/>
          <w:lang w:val="es-ES" w:eastAsia="es-ES"/>
        </w:rPr>
      </w:pPr>
      <w:r w:rsidRPr="0056657A">
        <w:rPr>
          <w:rFonts w:ascii="Tahoma" w:hAnsi="Tahoma" w:cs="Tahoma"/>
          <w:color w:val="000000"/>
          <w:sz w:val="21"/>
          <w:szCs w:val="21"/>
        </w:rPr>
        <w:lastRenderedPageBreak/>
        <w:t>Por estos fundamentos, de conformidad con el informe de la Vocal Ponente Dra. Dammar Salazar Díaz,  y la intervención de los Vocale</w:t>
      </w:r>
      <w:r>
        <w:rPr>
          <w:rFonts w:ascii="Tahoma" w:hAnsi="Tahoma" w:cs="Tahoma"/>
          <w:color w:val="000000"/>
          <w:sz w:val="21"/>
          <w:szCs w:val="21"/>
        </w:rPr>
        <w:t>s Dra. Ada Basulto Liewald y Dr</w:t>
      </w:r>
      <w:r w:rsidRPr="0056657A">
        <w:rPr>
          <w:rFonts w:ascii="Tahoma" w:hAnsi="Tahoma" w:cs="Tahoma"/>
          <w:color w:val="000000"/>
          <w:sz w:val="21"/>
          <w:szCs w:val="21"/>
        </w:rPr>
        <w:t xml:space="preserve">. </w:t>
      </w:r>
      <w:r>
        <w:rPr>
          <w:rFonts w:ascii="Tahoma" w:hAnsi="Tahoma" w:cs="Tahoma"/>
          <w:color w:val="000000"/>
          <w:sz w:val="21"/>
          <w:szCs w:val="21"/>
        </w:rPr>
        <w:t>Carlos Fonseca Oliveira</w:t>
      </w:r>
      <w:r w:rsidRPr="0056657A">
        <w:rPr>
          <w:rFonts w:ascii="Tahoma" w:hAnsi="Tahoma" w:cs="Tahoma"/>
          <w:color w:val="000000"/>
          <w:sz w:val="21"/>
          <w:szCs w:val="21"/>
        </w:rPr>
        <w:t>, atendiendo a la reconformación de la Primera Sala del Tribunal de Contrataciones del Estado, según lo dispuesto en la Resolución Nº 574-2011-OSCE/PRE de fecha 02 de setiembre de 2011; en ejercicio de las facultades conferidas en el artículo 63º de la Ley de Contrataciones del Estado, aprobado por Decreto Legislativo Nº 1017, y su segunda disposición complementaria transitoria, así como los artículos 17º y 18º del Reglamento de Organización y Funciones del OSCE, aprobado por Decreto Supremo Nº 006-2009-EF;</w:t>
      </w:r>
      <w:r w:rsidR="00746966">
        <w:rPr>
          <w:rFonts w:ascii="Tahoma" w:hAnsi="Tahoma" w:cs="Tahoma"/>
          <w:color w:val="000000"/>
          <w:sz w:val="21"/>
          <w:szCs w:val="21"/>
        </w:rPr>
        <w:t xml:space="preserve"> Asimismo el Dr. Carlos Fonseca Oliveira reconformo la Primera Sala en reemplazo de la Dra. Wina Isasi Berrospi, de conformidad a lo dispuesto en el Acuerdo de Sala Plena Nº 001-2011 del 04 de Abril del 2011,</w:t>
      </w:r>
      <w:r w:rsidRPr="0056657A">
        <w:rPr>
          <w:rFonts w:ascii="Tahoma" w:hAnsi="Tahoma" w:cs="Tahoma"/>
          <w:color w:val="000000"/>
          <w:sz w:val="21"/>
          <w:szCs w:val="21"/>
        </w:rPr>
        <w:t xml:space="preserve"> analizados los antecedentes y luego de agotado el debate correspondiente, por unanimidad</w:t>
      </w:r>
      <w:r w:rsidR="00EE792B" w:rsidRPr="0056657A">
        <w:rPr>
          <w:rFonts w:ascii="Tahoma" w:eastAsia="Calibri" w:hAnsi="Tahoma" w:cs="Tahoma"/>
          <w:color w:val="000000"/>
          <w:sz w:val="21"/>
          <w:szCs w:val="21"/>
          <w:lang w:val="es-ES" w:eastAsia="es-ES"/>
        </w:rPr>
        <w:t>.</w:t>
      </w:r>
    </w:p>
    <w:p w:rsidR="00EE792B" w:rsidRPr="00EE792B" w:rsidRDefault="00EE792B" w:rsidP="00EE792B">
      <w:pPr>
        <w:spacing w:after="0" w:line="240" w:lineRule="auto"/>
        <w:rPr>
          <w:rFonts w:ascii="Tahoma" w:eastAsia="Calibri" w:hAnsi="Tahoma" w:cs="Tahoma"/>
          <w:color w:val="000000"/>
          <w:sz w:val="21"/>
          <w:szCs w:val="21"/>
          <w:lang w:val="es-ES" w:eastAsia="es-ES"/>
        </w:rPr>
      </w:pPr>
    </w:p>
    <w:p w:rsidR="00EE792B" w:rsidRPr="00EE792B" w:rsidRDefault="00EE792B" w:rsidP="00EE792B">
      <w:pPr>
        <w:spacing w:after="0" w:line="240" w:lineRule="auto"/>
        <w:ind w:firstLine="708"/>
        <w:jc w:val="both"/>
        <w:rPr>
          <w:rFonts w:ascii="Tahoma" w:eastAsia="Times New Roman" w:hAnsi="Tahoma" w:cs="Tahoma"/>
          <w:b/>
          <w:sz w:val="21"/>
          <w:szCs w:val="21"/>
          <w:lang w:val="es-ES" w:eastAsia="es-ES"/>
        </w:rPr>
      </w:pPr>
    </w:p>
    <w:p w:rsidR="00EE792B" w:rsidRPr="00EE792B" w:rsidRDefault="00EE792B" w:rsidP="00EE792B">
      <w:pPr>
        <w:spacing w:after="0" w:line="240" w:lineRule="auto"/>
        <w:ind w:firstLine="708"/>
        <w:jc w:val="both"/>
        <w:rPr>
          <w:rFonts w:ascii="Tahoma" w:eastAsia="Times New Roman" w:hAnsi="Tahoma" w:cs="Tahoma"/>
          <w:b/>
          <w:sz w:val="21"/>
          <w:szCs w:val="21"/>
          <w:lang w:val="es-ES" w:eastAsia="es-ES"/>
        </w:rPr>
      </w:pPr>
      <w:smartTag w:uri="urn:schemas-microsoft-com:office:smarttags" w:element="PersonName">
        <w:smartTagPr>
          <w:attr w:name="ProductID" w:val="LA SALA RESUELVE"/>
        </w:smartTagPr>
        <w:r w:rsidRPr="00EE792B">
          <w:rPr>
            <w:rFonts w:ascii="Tahoma" w:eastAsia="Times New Roman" w:hAnsi="Tahoma" w:cs="Tahoma"/>
            <w:b/>
            <w:sz w:val="21"/>
            <w:szCs w:val="21"/>
            <w:lang w:val="es-ES" w:eastAsia="es-ES"/>
          </w:rPr>
          <w:t>LA SALA RESUELVE</w:t>
        </w:r>
      </w:smartTag>
      <w:r w:rsidRPr="00EE792B">
        <w:rPr>
          <w:rFonts w:ascii="Tahoma" w:eastAsia="Times New Roman" w:hAnsi="Tahoma" w:cs="Tahoma"/>
          <w:b/>
          <w:sz w:val="21"/>
          <w:szCs w:val="21"/>
          <w:lang w:val="es-ES" w:eastAsia="es-ES"/>
        </w:rPr>
        <w:t xml:space="preserve">: </w:t>
      </w:r>
    </w:p>
    <w:p w:rsidR="00EE792B" w:rsidRPr="00EE792B" w:rsidRDefault="00EE792B" w:rsidP="00EE792B">
      <w:pPr>
        <w:spacing w:after="0" w:line="240" w:lineRule="auto"/>
        <w:ind w:firstLine="708"/>
        <w:jc w:val="both"/>
        <w:rPr>
          <w:rFonts w:ascii="Tahoma" w:eastAsia="Times New Roman" w:hAnsi="Tahoma" w:cs="Tahoma"/>
          <w:b/>
          <w:sz w:val="21"/>
          <w:szCs w:val="21"/>
          <w:lang w:val="es-ES" w:eastAsia="es-ES"/>
        </w:rPr>
      </w:pPr>
    </w:p>
    <w:p w:rsidR="0056657A" w:rsidRPr="0056657A" w:rsidRDefault="0056657A" w:rsidP="0056657A">
      <w:pPr>
        <w:numPr>
          <w:ilvl w:val="0"/>
          <w:numId w:val="11"/>
        </w:numPr>
        <w:tabs>
          <w:tab w:val="num" w:pos="1022"/>
        </w:tabs>
        <w:spacing w:after="0" w:line="240" w:lineRule="auto"/>
        <w:jc w:val="both"/>
        <w:rPr>
          <w:rFonts w:ascii="Tahoma" w:eastAsia="Times New Roman" w:hAnsi="Tahoma" w:cs="Tahoma"/>
          <w:sz w:val="21"/>
          <w:szCs w:val="21"/>
          <w:lang w:val="es-ES" w:eastAsia="es-ES"/>
        </w:rPr>
      </w:pPr>
      <w:r w:rsidRPr="0056657A">
        <w:rPr>
          <w:rFonts w:ascii="Tahoma" w:eastAsia="Times New Roman" w:hAnsi="Tahoma" w:cs="Tahoma"/>
          <w:sz w:val="21"/>
          <w:szCs w:val="21"/>
          <w:lang w:eastAsia="es-ES"/>
        </w:rPr>
        <w:t xml:space="preserve">Declarar fundado el recurso de apelación interpuesto por </w:t>
      </w:r>
      <w:r w:rsidRPr="0056657A">
        <w:rPr>
          <w:rFonts w:ascii="Tahoma" w:eastAsia="Times New Roman" w:hAnsi="Tahoma" w:cs="Tahoma"/>
          <w:sz w:val="21"/>
          <w:szCs w:val="21"/>
          <w:lang w:val="es-ES" w:eastAsia="es-ES"/>
        </w:rPr>
        <w:t xml:space="preserve">la empresa C &amp; E LABDEALERS SOCIEDAD ANÓNIMA., </w:t>
      </w:r>
      <w:r w:rsidRPr="0056657A">
        <w:rPr>
          <w:rFonts w:ascii="Tahoma" w:eastAsia="Times New Roman" w:hAnsi="Tahoma" w:cs="Tahoma"/>
          <w:sz w:val="21"/>
          <w:szCs w:val="21"/>
          <w:lang w:eastAsia="es-ES"/>
        </w:rPr>
        <w:t>contra</w:t>
      </w:r>
      <w:r w:rsidRPr="0056657A">
        <w:rPr>
          <w:rFonts w:ascii="Tahoma" w:eastAsia="Times New Roman" w:hAnsi="Tahoma" w:cs="Tahoma"/>
          <w:sz w:val="21"/>
          <w:szCs w:val="21"/>
          <w:lang w:val="es-ES" w:eastAsia="es-ES"/>
        </w:rPr>
        <w:t xml:space="preserve"> la calificación de su propuesta técnica y el otorgamiento de la buena pro del Ítem Nº 08 de</w:t>
      </w:r>
      <w:r w:rsidRPr="0056657A">
        <w:rPr>
          <w:rFonts w:ascii="Tahoma" w:eastAsia="Times New Roman" w:hAnsi="Tahoma" w:cs="Tahoma"/>
          <w:sz w:val="21"/>
          <w:szCs w:val="21"/>
          <w:lang w:eastAsia="es-ES"/>
        </w:rPr>
        <w:t xml:space="preserve"> la Licitación Pública Nº 001-2011-INEN</w:t>
      </w:r>
      <w:r w:rsidRPr="0056657A">
        <w:rPr>
          <w:rFonts w:ascii="Tahoma" w:eastAsia="Times New Roman" w:hAnsi="Tahoma" w:cs="Tahoma"/>
          <w:sz w:val="21"/>
          <w:szCs w:val="21"/>
          <w:lang w:val="es-ES" w:eastAsia="es-ES"/>
        </w:rPr>
        <w:t>, convocado por el INSTITUTO NACIONAL DE ENFERMEDADES NEOPLASICAS - INEN, para la “Adquisición de reactivos para Laboratorio Clínico”</w:t>
      </w:r>
      <w:r w:rsidRPr="0056657A">
        <w:rPr>
          <w:rFonts w:ascii="Tahoma" w:eastAsia="Times New Roman" w:hAnsi="Tahoma" w:cs="Tahoma"/>
          <w:sz w:val="21"/>
          <w:szCs w:val="21"/>
          <w:lang w:eastAsia="es-ES"/>
        </w:rPr>
        <w:t xml:space="preserve">, por los fundamentos expuestos. </w:t>
      </w:r>
    </w:p>
    <w:p w:rsidR="0056657A" w:rsidRPr="0056657A" w:rsidRDefault="0056657A" w:rsidP="0056657A">
      <w:pPr>
        <w:tabs>
          <w:tab w:val="num" w:pos="1022"/>
        </w:tabs>
        <w:spacing w:after="0" w:line="240" w:lineRule="auto"/>
        <w:ind w:left="454"/>
        <w:jc w:val="both"/>
        <w:rPr>
          <w:rFonts w:ascii="Tahoma" w:eastAsia="Times New Roman" w:hAnsi="Tahoma" w:cs="Tahoma"/>
          <w:sz w:val="21"/>
          <w:szCs w:val="21"/>
          <w:lang w:val="es-ES" w:eastAsia="es-ES"/>
        </w:rPr>
      </w:pPr>
    </w:p>
    <w:p w:rsidR="0056657A" w:rsidRPr="0056657A" w:rsidRDefault="0056657A" w:rsidP="0056657A">
      <w:pPr>
        <w:numPr>
          <w:ilvl w:val="0"/>
          <w:numId w:val="11"/>
        </w:numPr>
        <w:tabs>
          <w:tab w:val="num" w:pos="1022"/>
        </w:tabs>
        <w:spacing w:after="0" w:line="240" w:lineRule="auto"/>
        <w:jc w:val="both"/>
        <w:rPr>
          <w:rFonts w:ascii="Tahoma" w:eastAsia="Times New Roman" w:hAnsi="Tahoma" w:cs="Tahoma"/>
          <w:sz w:val="21"/>
          <w:szCs w:val="21"/>
          <w:lang w:val="es-ES" w:eastAsia="es-ES"/>
        </w:rPr>
      </w:pPr>
      <w:r w:rsidRPr="0056657A">
        <w:rPr>
          <w:rFonts w:ascii="Tahoma" w:eastAsia="Times New Roman" w:hAnsi="Tahoma" w:cs="Tahoma"/>
          <w:sz w:val="21"/>
          <w:szCs w:val="21"/>
          <w:lang w:val="es-ES" w:eastAsia="es-ES"/>
        </w:rPr>
        <w:t>Revocar la Buena Pro a la empresa REPRESENTACIONES MÉDICAS S.R.L., respecto del Ítem Nº 08 de</w:t>
      </w:r>
      <w:r w:rsidRPr="0056657A">
        <w:rPr>
          <w:rFonts w:ascii="Tahoma" w:eastAsia="Times New Roman" w:hAnsi="Tahoma" w:cs="Tahoma"/>
          <w:sz w:val="21"/>
          <w:szCs w:val="21"/>
          <w:lang w:eastAsia="es-ES"/>
        </w:rPr>
        <w:t xml:space="preserve"> la Licitación Pública Nº 001-2011-INEN</w:t>
      </w:r>
      <w:r w:rsidRPr="0056657A">
        <w:rPr>
          <w:rFonts w:ascii="Tahoma" w:eastAsia="Times New Roman" w:hAnsi="Tahoma" w:cs="Tahoma"/>
          <w:sz w:val="21"/>
          <w:szCs w:val="21"/>
          <w:lang w:val="es-ES" w:eastAsia="es-ES"/>
        </w:rPr>
        <w:t>, convocado por el INSTITUTO NACIONAL DE ENFERMEDADES NEOPLASICAS - INEN, para la “Adquisición de reactivos para Laboratorio Clínico”</w:t>
      </w:r>
      <w:r w:rsidRPr="0056657A">
        <w:rPr>
          <w:rFonts w:ascii="Tahoma" w:eastAsia="Times New Roman" w:hAnsi="Tahoma" w:cs="Tahoma"/>
          <w:sz w:val="21"/>
          <w:szCs w:val="21"/>
          <w:lang w:eastAsia="es-ES"/>
        </w:rPr>
        <w:t>, por los fundamentos expuestos.</w:t>
      </w:r>
    </w:p>
    <w:p w:rsidR="0056657A" w:rsidRPr="0056657A" w:rsidRDefault="0056657A" w:rsidP="0056657A">
      <w:pPr>
        <w:spacing w:after="0" w:line="240" w:lineRule="auto"/>
        <w:ind w:left="708"/>
        <w:rPr>
          <w:rFonts w:ascii="Tahoma" w:eastAsia="Times New Roman" w:hAnsi="Tahoma" w:cs="Tahoma"/>
          <w:sz w:val="21"/>
          <w:szCs w:val="21"/>
          <w:lang w:val="es-ES" w:eastAsia="es-ES"/>
        </w:rPr>
      </w:pPr>
    </w:p>
    <w:p w:rsidR="0056657A" w:rsidRPr="0056657A" w:rsidRDefault="0056657A" w:rsidP="0056657A">
      <w:pPr>
        <w:numPr>
          <w:ilvl w:val="0"/>
          <w:numId w:val="11"/>
        </w:numPr>
        <w:tabs>
          <w:tab w:val="num" w:pos="1022"/>
        </w:tabs>
        <w:spacing w:after="0" w:line="240" w:lineRule="auto"/>
        <w:jc w:val="both"/>
        <w:rPr>
          <w:rFonts w:ascii="Tahoma" w:eastAsia="Times New Roman" w:hAnsi="Tahoma" w:cs="Tahoma"/>
          <w:sz w:val="21"/>
          <w:szCs w:val="21"/>
          <w:lang w:val="es-ES" w:eastAsia="es-ES"/>
        </w:rPr>
      </w:pPr>
      <w:r w:rsidRPr="0056657A">
        <w:rPr>
          <w:rFonts w:ascii="Tahoma" w:eastAsia="Times New Roman" w:hAnsi="Tahoma" w:cs="Tahoma"/>
          <w:sz w:val="21"/>
          <w:szCs w:val="21"/>
          <w:lang w:val="es-ES" w:eastAsia="es-ES"/>
        </w:rPr>
        <w:t>Otorgar la Buena Pro a la empresa C &amp; E LABDEALERS SOCIEDAD ANÓNIMA, respecto del Ítem Nº 08 de</w:t>
      </w:r>
      <w:r w:rsidRPr="0056657A">
        <w:rPr>
          <w:rFonts w:ascii="Tahoma" w:eastAsia="Times New Roman" w:hAnsi="Tahoma" w:cs="Tahoma"/>
          <w:sz w:val="21"/>
          <w:szCs w:val="21"/>
          <w:lang w:eastAsia="es-ES"/>
        </w:rPr>
        <w:t xml:space="preserve"> la Licitación Pública Nº 001-2011-INEN</w:t>
      </w:r>
      <w:r w:rsidRPr="0056657A">
        <w:rPr>
          <w:rFonts w:ascii="Tahoma" w:eastAsia="Times New Roman" w:hAnsi="Tahoma" w:cs="Tahoma"/>
          <w:sz w:val="21"/>
          <w:szCs w:val="21"/>
          <w:lang w:val="es-ES" w:eastAsia="es-ES"/>
        </w:rPr>
        <w:t>, convocado por el INSTITUTO NACIONAL DE ENFERMEDADES NEOPLASICAS - INEN, para la “Adquisición de reactivos para Laboratorio Clínico”</w:t>
      </w:r>
    </w:p>
    <w:p w:rsidR="0056657A" w:rsidRPr="0056657A" w:rsidRDefault="0056657A" w:rsidP="0056657A">
      <w:pPr>
        <w:spacing w:after="0" w:line="240" w:lineRule="auto"/>
        <w:jc w:val="both"/>
        <w:rPr>
          <w:rFonts w:ascii="Tahoma" w:eastAsia="Times New Roman" w:hAnsi="Tahoma" w:cs="Tahoma"/>
          <w:sz w:val="21"/>
          <w:szCs w:val="21"/>
          <w:lang w:val="es-ES" w:eastAsia="es-ES"/>
        </w:rPr>
      </w:pPr>
    </w:p>
    <w:p w:rsidR="0056657A" w:rsidRPr="0056657A" w:rsidRDefault="0056657A" w:rsidP="0056657A">
      <w:pPr>
        <w:numPr>
          <w:ilvl w:val="0"/>
          <w:numId w:val="11"/>
        </w:numPr>
        <w:tabs>
          <w:tab w:val="num" w:pos="1022"/>
        </w:tabs>
        <w:spacing w:after="0" w:line="240" w:lineRule="auto"/>
        <w:jc w:val="both"/>
        <w:rPr>
          <w:rFonts w:ascii="Tahoma" w:eastAsia="Times New Roman" w:hAnsi="Tahoma" w:cs="Tahoma"/>
          <w:sz w:val="21"/>
          <w:szCs w:val="21"/>
          <w:lang w:val="es-ES" w:eastAsia="es-ES"/>
        </w:rPr>
      </w:pPr>
      <w:r w:rsidRPr="0056657A">
        <w:rPr>
          <w:rFonts w:ascii="Tahoma" w:eastAsia="Times New Roman" w:hAnsi="Tahoma" w:cs="Tahoma"/>
          <w:sz w:val="21"/>
          <w:szCs w:val="21"/>
          <w:lang w:val="es-ES" w:eastAsia="es-ES"/>
        </w:rPr>
        <w:t>Devolver la garantía presentada por el Impugnante para la interposición del recurso de apelación.</w:t>
      </w:r>
    </w:p>
    <w:p w:rsidR="0056657A" w:rsidRPr="0056657A" w:rsidRDefault="0056657A" w:rsidP="0056657A">
      <w:pPr>
        <w:spacing w:after="0" w:line="240" w:lineRule="auto"/>
        <w:jc w:val="both"/>
        <w:rPr>
          <w:rFonts w:ascii="Tahoma" w:eastAsia="Times New Roman" w:hAnsi="Tahoma" w:cs="Tahoma"/>
          <w:sz w:val="21"/>
          <w:szCs w:val="21"/>
          <w:lang w:val="es-ES" w:eastAsia="es-ES"/>
        </w:rPr>
      </w:pPr>
    </w:p>
    <w:p w:rsidR="0056657A" w:rsidRPr="0056657A" w:rsidRDefault="0056657A" w:rsidP="0056657A">
      <w:pPr>
        <w:numPr>
          <w:ilvl w:val="0"/>
          <w:numId w:val="11"/>
        </w:numPr>
        <w:tabs>
          <w:tab w:val="num" w:pos="1022"/>
        </w:tabs>
        <w:spacing w:after="0" w:line="240" w:lineRule="auto"/>
        <w:jc w:val="both"/>
        <w:rPr>
          <w:rFonts w:ascii="Tahoma" w:eastAsia="Times New Roman" w:hAnsi="Tahoma" w:cs="Tahoma"/>
          <w:sz w:val="21"/>
          <w:szCs w:val="21"/>
          <w:lang w:val="es-ES" w:eastAsia="es-ES"/>
        </w:rPr>
      </w:pPr>
      <w:r w:rsidRPr="0056657A">
        <w:rPr>
          <w:rFonts w:ascii="Tahoma" w:eastAsia="Times New Roman" w:hAnsi="Tahoma" w:cs="Tahoma"/>
          <w:sz w:val="21"/>
          <w:szCs w:val="21"/>
          <w:lang w:val="es-ES_tradnl" w:eastAsia="es-ES"/>
        </w:rPr>
        <w:t>Disponer la devolución de los antecedentes administrativos a la Entidad, la cual deberá recabarlos en la mesa de partes del Tribunal dentro del plazo de 30 días calendario de notificada la presente Resolución,</w:t>
      </w:r>
      <w:r w:rsidRPr="0056657A">
        <w:rPr>
          <w:rFonts w:ascii="Tahoma" w:eastAsia="Times New Roman" w:hAnsi="Tahoma" w:cs="Tahoma"/>
          <w:sz w:val="21"/>
          <w:szCs w:val="21"/>
          <w:lang w:eastAsia="es-ES"/>
        </w:rPr>
        <w:t> </w:t>
      </w:r>
      <w:r w:rsidRPr="0056657A">
        <w:rPr>
          <w:rFonts w:ascii="Tahoma" w:eastAsia="Times New Roman" w:hAnsi="Tahoma" w:cs="Tahoma"/>
          <w:sz w:val="21"/>
          <w:szCs w:val="21"/>
          <w:lang w:val="es-ES_tradnl" w:eastAsia="es-ES"/>
        </w:rPr>
        <w:t>por lo que deberá autorizar por escrito a la personas que realizará dicha diligencia. De lo contrario, los antecedentes administrativos serán enviados al Archivo Central de OSCE  para  su custodia por un plazo de seis (6) meses, luego del cual serán remitidos al Archivo General de la Nación, bajo responsabilidad.</w:t>
      </w:r>
    </w:p>
    <w:p w:rsidR="0056657A" w:rsidRPr="0056657A" w:rsidRDefault="0056657A" w:rsidP="0056657A">
      <w:pPr>
        <w:spacing w:after="0" w:line="240" w:lineRule="auto"/>
        <w:ind w:left="708"/>
        <w:rPr>
          <w:rFonts w:ascii="Tahoma" w:eastAsia="Times New Roman" w:hAnsi="Tahoma" w:cs="Tahoma"/>
          <w:sz w:val="21"/>
          <w:szCs w:val="21"/>
          <w:lang w:val="es-ES" w:eastAsia="es-ES"/>
        </w:rPr>
      </w:pPr>
    </w:p>
    <w:p w:rsidR="0056657A" w:rsidRPr="0056657A" w:rsidRDefault="0056657A" w:rsidP="0056657A">
      <w:pPr>
        <w:numPr>
          <w:ilvl w:val="0"/>
          <w:numId w:val="11"/>
        </w:numPr>
        <w:tabs>
          <w:tab w:val="num" w:pos="1022"/>
        </w:tabs>
        <w:spacing w:after="0" w:line="240" w:lineRule="auto"/>
        <w:jc w:val="both"/>
        <w:rPr>
          <w:rFonts w:ascii="Tahoma" w:eastAsia="Times New Roman" w:hAnsi="Tahoma" w:cs="Tahoma"/>
          <w:sz w:val="21"/>
          <w:szCs w:val="21"/>
          <w:lang w:val="es-ES" w:eastAsia="es-ES"/>
        </w:rPr>
      </w:pPr>
      <w:r w:rsidRPr="0056657A">
        <w:rPr>
          <w:rFonts w:ascii="Tahoma" w:eastAsia="Times New Roman" w:hAnsi="Tahoma" w:cs="Tahoma"/>
          <w:sz w:val="21"/>
          <w:szCs w:val="21"/>
          <w:lang w:val="es-ES" w:eastAsia="es-ES"/>
        </w:rPr>
        <w:lastRenderedPageBreak/>
        <w:t xml:space="preserve">Dar por agotada la vía administrativa. </w:t>
      </w:r>
    </w:p>
    <w:p w:rsidR="00EE792B" w:rsidRPr="00EE792B" w:rsidRDefault="00EE792B" w:rsidP="00EE792B">
      <w:pPr>
        <w:tabs>
          <w:tab w:val="num" w:pos="540"/>
        </w:tabs>
        <w:spacing w:after="0" w:line="240" w:lineRule="auto"/>
        <w:ind w:right="-1"/>
        <w:jc w:val="both"/>
        <w:rPr>
          <w:rFonts w:ascii="Tahoma" w:eastAsia="Times New Roman" w:hAnsi="Tahoma" w:cs="Tahoma"/>
          <w:sz w:val="21"/>
          <w:szCs w:val="21"/>
          <w:lang w:val="es-ES" w:eastAsia="es-ES"/>
        </w:rPr>
      </w:pPr>
    </w:p>
    <w:p w:rsidR="00EE792B" w:rsidRPr="00EE792B" w:rsidRDefault="00EE792B" w:rsidP="00EE792B">
      <w:pPr>
        <w:spacing w:after="0" w:line="240" w:lineRule="auto"/>
        <w:ind w:firstLine="567"/>
        <w:jc w:val="both"/>
        <w:rPr>
          <w:rFonts w:ascii="Tahoma" w:eastAsia="Times New Roman" w:hAnsi="Tahoma" w:cs="Tahoma"/>
          <w:sz w:val="21"/>
          <w:szCs w:val="21"/>
          <w:lang w:val="es-ES" w:eastAsia="es-ES"/>
        </w:rPr>
      </w:pPr>
      <w:r w:rsidRPr="00EE792B">
        <w:rPr>
          <w:rFonts w:ascii="Tahoma" w:eastAsia="Times New Roman" w:hAnsi="Tahoma" w:cs="Tahoma"/>
          <w:sz w:val="21"/>
          <w:szCs w:val="21"/>
          <w:lang w:val="es-ES" w:eastAsia="es-ES"/>
        </w:rPr>
        <w:t>Regístrese, comuníquese y publíquese.</w:t>
      </w:r>
    </w:p>
    <w:p w:rsidR="00EE792B" w:rsidRPr="00EE792B" w:rsidRDefault="00EE792B" w:rsidP="00EE792B">
      <w:pPr>
        <w:spacing w:after="0" w:line="240" w:lineRule="auto"/>
        <w:rPr>
          <w:rFonts w:ascii="Tahoma" w:eastAsia="Times New Roman" w:hAnsi="Tahoma" w:cs="Tahoma"/>
          <w:sz w:val="21"/>
          <w:szCs w:val="21"/>
          <w:lang w:val="es-ES" w:eastAsia="es-ES"/>
        </w:rPr>
      </w:pPr>
    </w:p>
    <w:p w:rsidR="00EE792B" w:rsidRPr="00EE792B" w:rsidRDefault="00EE792B" w:rsidP="00EE792B">
      <w:pPr>
        <w:spacing w:after="0" w:line="240" w:lineRule="auto"/>
        <w:rPr>
          <w:rFonts w:ascii="Tahoma" w:eastAsia="Times New Roman" w:hAnsi="Tahoma" w:cs="Tahoma"/>
          <w:sz w:val="21"/>
          <w:szCs w:val="21"/>
          <w:lang w:val="es-ES" w:eastAsia="es-ES"/>
        </w:rPr>
      </w:pPr>
    </w:p>
    <w:p w:rsidR="00EE792B" w:rsidRPr="00EE792B" w:rsidRDefault="00EE792B" w:rsidP="00EE792B">
      <w:pPr>
        <w:spacing w:after="0" w:line="240" w:lineRule="auto"/>
        <w:rPr>
          <w:rFonts w:ascii="Tahoma" w:eastAsia="Times New Roman" w:hAnsi="Tahoma" w:cs="Tahoma"/>
          <w:sz w:val="21"/>
          <w:szCs w:val="21"/>
          <w:lang w:val="es-ES" w:eastAsia="es-ES"/>
        </w:rPr>
      </w:pPr>
    </w:p>
    <w:p w:rsidR="00EE792B" w:rsidRPr="00EE792B" w:rsidRDefault="00EE792B" w:rsidP="00EE792B">
      <w:pPr>
        <w:spacing w:after="0" w:line="240" w:lineRule="auto"/>
        <w:rPr>
          <w:rFonts w:ascii="Tahoma" w:eastAsia="Times New Roman" w:hAnsi="Tahoma" w:cs="Tahoma"/>
          <w:sz w:val="21"/>
          <w:szCs w:val="21"/>
          <w:lang w:val="es-ES" w:eastAsia="es-ES"/>
        </w:rPr>
      </w:pPr>
    </w:p>
    <w:p w:rsidR="00EE792B" w:rsidRPr="00EE792B" w:rsidRDefault="00EE792B" w:rsidP="00EE792B">
      <w:pPr>
        <w:spacing w:after="0" w:line="240" w:lineRule="auto"/>
        <w:jc w:val="center"/>
        <w:rPr>
          <w:rFonts w:ascii="Tahoma" w:eastAsia="Times New Roman" w:hAnsi="Tahoma" w:cs="Tahoma"/>
          <w:b/>
          <w:sz w:val="21"/>
          <w:szCs w:val="21"/>
          <w:lang w:val="es-ES" w:eastAsia="es-ES"/>
        </w:rPr>
      </w:pPr>
      <w:r w:rsidRPr="00EE792B">
        <w:rPr>
          <w:rFonts w:ascii="Tahoma" w:eastAsia="Times New Roman" w:hAnsi="Tahoma" w:cs="Tahoma"/>
          <w:b/>
          <w:sz w:val="21"/>
          <w:szCs w:val="21"/>
          <w:lang w:val="es-ES" w:eastAsia="es-ES"/>
        </w:rPr>
        <w:t>PRESIDENT</w:t>
      </w:r>
      <w:r w:rsidR="00746966">
        <w:rPr>
          <w:rFonts w:ascii="Tahoma" w:eastAsia="Times New Roman" w:hAnsi="Tahoma" w:cs="Tahoma"/>
          <w:b/>
          <w:sz w:val="21"/>
          <w:szCs w:val="21"/>
          <w:lang w:val="es-ES" w:eastAsia="es-ES"/>
        </w:rPr>
        <w:t>A</w:t>
      </w:r>
    </w:p>
    <w:p w:rsidR="00EE792B" w:rsidRPr="00EE792B" w:rsidRDefault="00EE792B" w:rsidP="00EE792B">
      <w:pPr>
        <w:spacing w:after="0" w:line="240" w:lineRule="auto"/>
        <w:rPr>
          <w:rFonts w:ascii="Tahoma" w:eastAsia="Times New Roman" w:hAnsi="Tahoma" w:cs="Tahoma"/>
          <w:b/>
          <w:sz w:val="21"/>
          <w:szCs w:val="21"/>
          <w:lang w:val="es-ES" w:eastAsia="es-ES"/>
        </w:rPr>
      </w:pPr>
    </w:p>
    <w:p w:rsidR="00EE792B" w:rsidRPr="00EE792B" w:rsidRDefault="00EE792B" w:rsidP="00EE792B">
      <w:pPr>
        <w:spacing w:after="0" w:line="240" w:lineRule="auto"/>
        <w:rPr>
          <w:rFonts w:ascii="Tahoma" w:eastAsia="Times New Roman" w:hAnsi="Tahoma" w:cs="Tahoma"/>
          <w:b/>
          <w:sz w:val="21"/>
          <w:szCs w:val="21"/>
          <w:lang w:val="es-ES" w:eastAsia="es-ES"/>
        </w:rPr>
      </w:pPr>
    </w:p>
    <w:p w:rsidR="00EE792B" w:rsidRPr="00EE792B" w:rsidRDefault="00EE792B" w:rsidP="00EE792B">
      <w:pPr>
        <w:spacing w:after="0" w:line="240" w:lineRule="auto"/>
        <w:jc w:val="both"/>
        <w:rPr>
          <w:rFonts w:ascii="Tahoma" w:eastAsia="Times New Roman" w:hAnsi="Tahoma" w:cs="Tahoma"/>
          <w:b/>
          <w:sz w:val="21"/>
          <w:szCs w:val="21"/>
          <w:lang w:val="es-ES" w:eastAsia="es-ES"/>
        </w:rPr>
      </w:pPr>
    </w:p>
    <w:p w:rsidR="00EE792B" w:rsidRPr="00EE792B" w:rsidRDefault="00EE792B" w:rsidP="00EE792B">
      <w:pPr>
        <w:spacing w:after="0" w:line="240" w:lineRule="auto"/>
        <w:jc w:val="both"/>
        <w:rPr>
          <w:rFonts w:ascii="Tahoma" w:eastAsia="Times New Roman" w:hAnsi="Tahoma" w:cs="Tahoma"/>
          <w:b/>
          <w:sz w:val="21"/>
          <w:szCs w:val="21"/>
          <w:lang w:val="es-ES" w:eastAsia="es-ES"/>
        </w:rPr>
      </w:pPr>
    </w:p>
    <w:p w:rsidR="00EE792B" w:rsidRPr="00EE792B" w:rsidRDefault="00EE792B" w:rsidP="00EE792B">
      <w:pPr>
        <w:spacing w:after="0" w:line="240" w:lineRule="auto"/>
        <w:jc w:val="both"/>
        <w:rPr>
          <w:rFonts w:ascii="Tahoma" w:eastAsia="Times New Roman" w:hAnsi="Tahoma" w:cs="Tahoma"/>
          <w:sz w:val="21"/>
          <w:szCs w:val="21"/>
          <w:lang w:val="es-ES" w:eastAsia="es-ES"/>
        </w:rPr>
      </w:pPr>
      <w:r w:rsidRPr="00EE792B">
        <w:rPr>
          <w:rFonts w:ascii="Tahoma" w:eastAsia="Times New Roman" w:hAnsi="Tahoma" w:cs="Tahoma"/>
          <w:b/>
          <w:sz w:val="21"/>
          <w:szCs w:val="21"/>
          <w:lang w:val="es-ES" w:eastAsia="es-ES"/>
        </w:rPr>
        <w:t xml:space="preserve">                     VOCAL                                                                                   VOCAL</w:t>
      </w:r>
    </w:p>
    <w:p w:rsidR="00EE792B" w:rsidRPr="00EE792B" w:rsidRDefault="00EE792B" w:rsidP="00EE792B">
      <w:pPr>
        <w:spacing w:after="0" w:line="240" w:lineRule="auto"/>
        <w:jc w:val="both"/>
        <w:rPr>
          <w:rFonts w:ascii="Tahoma" w:eastAsia="Times New Roman" w:hAnsi="Tahoma" w:cs="Tahoma"/>
          <w:sz w:val="21"/>
          <w:szCs w:val="21"/>
          <w:lang w:val="es-ES" w:eastAsia="es-ES"/>
        </w:rPr>
      </w:pPr>
    </w:p>
    <w:p w:rsidR="00EE792B" w:rsidRPr="00EE792B" w:rsidRDefault="00EE792B" w:rsidP="00EE792B">
      <w:pPr>
        <w:spacing w:after="0" w:line="240" w:lineRule="auto"/>
        <w:jc w:val="both"/>
        <w:rPr>
          <w:rFonts w:ascii="Tahoma" w:eastAsia="Times New Roman" w:hAnsi="Tahoma" w:cs="Tahoma"/>
          <w:sz w:val="21"/>
          <w:szCs w:val="21"/>
          <w:lang w:val="es-ES" w:eastAsia="es-ES"/>
        </w:rPr>
      </w:pPr>
    </w:p>
    <w:p w:rsidR="00EE792B" w:rsidRPr="00EE792B" w:rsidRDefault="00EE792B" w:rsidP="00EE792B">
      <w:pPr>
        <w:spacing w:after="0" w:line="240" w:lineRule="auto"/>
        <w:jc w:val="both"/>
        <w:rPr>
          <w:rFonts w:ascii="Tahoma" w:eastAsia="Times New Roman" w:hAnsi="Tahoma" w:cs="Tahoma"/>
          <w:sz w:val="21"/>
          <w:szCs w:val="21"/>
          <w:lang w:val="es-ES" w:eastAsia="es-ES"/>
        </w:rPr>
      </w:pPr>
    </w:p>
    <w:p w:rsidR="00EE792B" w:rsidRPr="00EE792B" w:rsidRDefault="00EE792B" w:rsidP="00EE792B">
      <w:pPr>
        <w:tabs>
          <w:tab w:val="left" w:pos="3544"/>
          <w:tab w:val="left" w:pos="7230"/>
          <w:tab w:val="left" w:pos="8505"/>
        </w:tabs>
        <w:spacing w:after="0" w:line="240" w:lineRule="auto"/>
        <w:ind w:right="-486"/>
        <w:jc w:val="both"/>
        <w:rPr>
          <w:rFonts w:ascii="Tahoma" w:eastAsia="Times New Roman" w:hAnsi="Tahoma" w:cs="Tahoma"/>
          <w:sz w:val="21"/>
          <w:szCs w:val="21"/>
          <w:lang w:val="pt-BR" w:eastAsia="es-ES"/>
        </w:rPr>
      </w:pPr>
      <w:r w:rsidRPr="00EE792B">
        <w:rPr>
          <w:rFonts w:ascii="Tahoma" w:eastAsia="Times New Roman" w:hAnsi="Tahoma" w:cs="Tahoma"/>
          <w:sz w:val="21"/>
          <w:szCs w:val="21"/>
          <w:lang w:val="pt-BR" w:eastAsia="es-ES"/>
        </w:rPr>
        <w:t>ss.</w:t>
      </w:r>
    </w:p>
    <w:p w:rsidR="00EE792B" w:rsidRPr="00EE792B" w:rsidRDefault="0056657A" w:rsidP="00EE792B">
      <w:pPr>
        <w:tabs>
          <w:tab w:val="left" w:pos="3544"/>
          <w:tab w:val="left" w:pos="7230"/>
          <w:tab w:val="left" w:pos="8505"/>
        </w:tabs>
        <w:spacing w:after="0" w:line="240" w:lineRule="auto"/>
        <w:ind w:right="-486"/>
        <w:jc w:val="both"/>
        <w:rPr>
          <w:rFonts w:ascii="Tahoma" w:eastAsia="Times New Roman" w:hAnsi="Tahoma" w:cs="Tahoma"/>
          <w:sz w:val="21"/>
          <w:szCs w:val="21"/>
          <w:lang w:val="pt-BR" w:eastAsia="es-ES"/>
        </w:rPr>
      </w:pPr>
      <w:r>
        <w:rPr>
          <w:rFonts w:ascii="Tahoma" w:eastAsia="Times New Roman" w:hAnsi="Tahoma" w:cs="Tahoma"/>
          <w:sz w:val="21"/>
          <w:szCs w:val="21"/>
          <w:lang w:val="pt-BR" w:eastAsia="es-ES"/>
        </w:rPr>
        <w:t>BasultoLiewald</w:t>
      </w:r>
      <w:r w:rsidR="00EE792B" w:rsidRPr="00EE792B">
        <w:rPr>
          <w:rFonts w:ascii="Tahoma" w:eastAsia="Times New Roman" w:hAnsi="Tahoma" w:cs="Tahoma"/>
          <w:sz w:val="21"/>
          <w:szCs w:val="21"/>
          <w:lang w:val="pt-BR" w:eastAsia="es-ES"/>
        </w:rPr>
        <w:t>.</w:t>
      </w:r>
    </w:p>
    <w:p w:rsidR="00EE792B" w:rsidRPr="0056657A" w:rsidRDefault="0056657A" w:rsidP="00EE792B">
      <w:pPr>
        <w:tabs>
          <w:tab w:val="left" w:pos="3544"/>
          <w:tab w:val="left" w:pos="7230"/>
          <w:tab w:val="left" w:pos="8505"/>
        </w:tabs>
        <w:spacing w:after="0" w:line="240" w:lineRule="auto"/>
        <w:ind w:right="-486"/>
        <w:jc w:val="both"/>
        <w:rPr>
          <w:rFonts w:ascii="Tahoma" w:eastAsia="Times New Roman" w:hAnsi="Tahoma" w:cs="Tahoma"/>
          <w:b/>
          <w:color w:val="000000"/>
          <w:sz w:val="21"/>
          <w:szCs w:val="21"/>
          <w:lang w:val="es-ES" w:eastAsia="es-ES"/>
        </w:rPr>
      </w:pPr>
      <w:r w:rsidRPr="0056657A">
        <w:rPr>
          <w:rFonts w:ascii="Tahoma" w:eastAsia="Times New Roman" w:hAnsi="Tahoma" w:cs="Tahoma"/>
          <w:b/>
          <w:color w:val="000000"/>
          <w:sz w:val="21"/>
          <w:szCs w:val="21"/>
          <w:lang w:val="es-ES" w:eastAsia="es-ES"/>
        </w:rPr>
        <w:t>Salazar Díaz.</w:t>
      </w:r>
    </w:p>
    <w:p w:rsidR="00EE792B" w:rsidRPr="00EE792B" w:rsidRDefault="0056657A" w:rsidP="00EE792B">
      <w:pPr>
        <w:tabs>
          <w:tab w:val="left" w:pos="3544"/>
          <w:tab w:val="left" w:pos="7230"/>
          <w:tab w:val="left" w:pos="8505"/>
        </w:tabs>
        <w:spacing w:after="0" w:line="240" w:lineRule="auto"/>
        <w:ind w:right="-486"/>
        <w:jc w:val="both"/>
        <w:rPr>
          <w:rFonts w:ascii="Tahoma" w:eastAsia="Times New Roman" w:hAnsi="Tahoma" w:cs="Tahoma"/>
          <w:sz w:val="21"/>
          <w:szCs w:val="21"/>
          <w:lang w:val="es-ES" w:eastAsia="es-ES"/>
        </w:rPr>
      </w:pPr>
      <w:r>
        <w:rPr>
          <w:rFonts w:ascii="Tahoma" w:eastAsia="Times New Roman" w:hAnsi="Tahoma" w:cs="Tahoma"/>
          <w:color w:val="000000"/>
          <w:sz w:val="21"/>
          <w:szCs w:val="21"/>
          <w:lang w:val="es-ES" w:eastAsia="es-ES"/>
        </w:rPr>
        <w:t>Fonseca Oliveira</w:t>
      </w:r>
      <w:r w:rsidR="00EE792B" w:rsidRPr="00EE792B">
        <w:rPr>
          <w:rFonts w:ascii="Tahoma" w:eastAsia="Times New Roman" w:hAnsi="Tahoma" w:cs="Tahoma"/>
          <w:color w:val="000000"/>
          <w:sz w:val="21"/>
          <w:szCs w:val="21"/>
          <w:lang w:val="es-ES" w:eastAsia="es-ES"/>
        </w:rPr>
        <w:t>.</w:t>
      </w:r>
    </w:p>
    <w:p w:rsidR="00EE792B" w:rsidRPr="00EE792B" w:rsidRDefault="00EE792B" w:rsidP="00EE792B">
      <w:pPr>
        <w:spacing w:after="0" w:line="240" w:lineRule="auto"/>
        <w:jc w:val="both"/>
        <w:rPr>
          <w:rFonts w:ascii="Tahoma" w:eastAsia="Times New Roman" w:hAnsi="Tahoma" w:cs="Tahoma"/>
          <w:sz w:val="21"/>
          <w:szCs w:val="21"/>
          <w:lang w:eastAsia="es-ES"/>
        </w:rPr>
      </w:pPr>
    </w:p>
    <w:p w:rsidR="0020585F" w:rsidRPr="00EE792B" w:rsidRDefault="0020585F">
      <w:pPr>
        <w:rPr>
          <w:rFonts w:ascii="Tahoma" w:hAnsi="Tahoma" w:cs="Tahoma"/>
          <w:sz w:val="21"/>
          <w:szCs w:val="21"/>
        </w:rPr>
      </w:pPr>
    </w:p>
    <w:sectPr w:rsidR="0020585F" w:rsidRPr="00EE792B" w:rsidSect="00EE792B">
      <w:headerReference w:type="default" r:id="rId7"/>
      <w:pgSz w:w="12240" w:h="15840"/>
      <w:pgMar w:top="3544"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0043" w:rsidRDefault="00CC0043" w:rsidP="00EE792B">
      <w:pPr>
        <w:spacing w:after="0" w:line="240" w:lineRule="auto"/>
      </w:pPr>
      <w:r>
        <w:separator/>
      </w:r>
    </w:p>
  </w:endnote>
  <w:endnote w:type="continuationSeparator" w:id="1">
    <w:p w:rsidR="00CC0043" w:rsidRDefault="00CC0043" w:rsidP="00EE79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0043" w:rsidRDefault="00CC0043" w:rsidP="00EE792B">
      <w:pPr>
        <w:spacing w:after="0" w:line="240" w:lineRule="auto"/>
      </w:pPr>
      <w:r>
        <w:separator/>
      </w:r>
    </w:p>
  </w:footnote>
  <w:footnote w:type="continuationSeparator" w:id="1">
    <w:p w:rsidR="00CC0043" w:rsidRDefault="00CC0043" w:rsidP="00EE792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7D2" w:rsidRDefault="00C507D2" w:rsidP="00C507D2">
    <w:pPr>
      <w:pStyle w:val="Encabezado"/>
      <w:rPr>
        <w:noProof/>
      </w:rPr>
    </w:pPr>
    <w:r>
      <w:rPr>
        <w:noProof/>
        <w:lang w:val="es-ES"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C507D2" w:rsidRDefault="00C507D2" w:rsidP="00C507D2">
    <w:pPr>
      <w:pStyle w:val="Encabezado"/>
      <w:rPr>
        <w:noProof/>
      </w:rPr>
    </w:pPr>
  </w:p>
  <w:p w:rsidR="00C507D2" w:rsidRDefault="00C507D2" w:rsidP="00C507D2">
    <w:pPr>
      <w:pStyle w:val="Encabezado"/>
      <w:jc w:val="center"/>
      <w:rPr>
        <w:rFonts w:ascii="Monotype Corsiva" w:hAnsi="Monotype Corsiva"/>
        <w:b/>
        <w:sz w:val="44"/>
        <w:szCs w:val="44"/>
      </w:rPr>
    </w:pPr>
  </w:p>
  <w:p w:rsidR="00C507D2" w:rsidRDefault="00C507D2" w:rsidP="00C507D2">
    <w:pPr>
      <w:pStyle w:val="Encabezado"/>
      <w:jc w:val="center"/>
      <w:rPr>
        <w:rFonts w:ascii="Calibri" w:hAnsi="Calibri"/>
      </w:rPr>
    </w:pPr>
    <w:r>
      <w:rPr>
        <w:rFonts w:ascii="Monotype Corsiva" w:hAnsi="Monotype Corsiva"/>
        <w:b/>
        <w:sz w:val="44"/>
        <w:szCs w:val="44"/>
      </w:rPr>
      <w:t xml:space="preserve">Resolución Nº   </w:t>
    </w:r>
    <w:r>
      <w:rPr>
        <w:rFonts w:ascii="Tahoma" w:hAnsi="Tahoma" w:cs="Tahoma"/>
        <w:b/>
        <w:sz w:val="44"/>
        <w:szCs w:val="44"/>
      </w:rPr>
      <w:t>1493-2011-TC-S1</w:t>
    </w:r>
  </w:p>
  <w:p w:rsidR="00C507D2" w:rsidRDefault="00C507D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D5B45"/>
    <w:multiLevelType w:val="hybridMultilevel"/>
    <w:tmpl w:val="F244D2A0"/>
    <w:lvl w:ilvl="0" w:tplc="BC7202D2">
      <w:start w:val="1"/>
      <w:numFmt w:val="decimal"/>
      <w:lvlText w:val="%1."/>
      <w:lvlJc w:val="left"/>
      <w:pPr>
        <w:tabs>
          <w:tab w:val="num" w:pos="720"/>
        </w:tabs>
        <w:ind w:left="720" w:hanging="360"/>
      </w:pPr>
      <w:rPr>
        <w:rFonts w:hint="default"/>
        <w:b/>
        <w:shadow/>
      </w:rPr>
    </w:lvl>
    <w:lvl w:ilvl="1" w:tplc="CA128A1E">
      <w:start w:val="120"/>
      <w:numFmt w:val="bullet"/>
      <w:lvlText w:val="-"/>
      <w:lvlJc w:val="left"/>
      <w:pPr>
        <w:tabs>
          <w:tab w:val="num" w:pos="1440"/>
        </w:tabs>
        <w:ind w:left="1440" w:hanging="360"/>
      </w:pPr>
      <w:rPr>
        <w:rFonts w:ascii="Bookman Old Style" w:eastAsia="Times New Roman" w:hAnsi="Bookman Old Style" w:cs="Aria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257C41C3"/>
    <w:multiLevelType w:val="hybridMultilevel"/>
    <w:tmpl w:val="3822F4E2"/>
    <w:lvl w:ilvl="0" w:tplc="B5DC5C7E">
      <w:start w:val="1"/>
      <w:numFmt w:val="decimal"/>
      <w:lvlText w:val="%1."/>
      <w:lvlJc w:val="left"/>
      <w:pPr>
        <w:tabs>
          <w:tab w:val="num" w:pos="2320"/>
        </w:tabs>
        <w:ind w:left="2320" w:hanging="340"/>
      </w:pPr>
      <w:rPr>
        <w:rFonts w:hint="default"/>
        <w:b/>
        <w:shadow/>
        <w:spacing w:val="4"/>
        <w:kern w:val="16"/>
        <w:position w:val="0"/>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351057CF"/>
    <w:multiLevelType w:val="hybridMultilevel"/>
    <w:tmpl w:val="F2B82066"/>
    <w:lvl w:ilvl="0" w:tplc="8BBEA228">
      <w:start w:val="7"/>
      <w:numFmt w:val="decimal"/>
      <w:lvlText w:val="%1."/>
      <w:lvlJc w:val="left"/>
      <w:pPr>
        <w:tabs>
          <w:tab w:val="num" w:pos="737"/>
        </w:tabs>
        <w:ind w:left="737" w:hanging="377"/>
      </w:pPr>
      <w:rPr>
        <w:rFonts w:hint="default"/>
        <w:b/>
        <w:shadow/>
        <w:spacing w:val="4"/>
        <w:kern w:val="16"/>
        <w:position w:val="0"/>
        <w:sz w:val="21"/>
        <w:szCs w:val="2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45407604"/>
    <w:multiLevelType w:val="multilevel"/>
    <w:tmpl w:val="B470CF44"/>
    <w:lvl w:ilvl="0">
      <w:start w:val="1"/>
      <w:numFmt w:val="decimal"/>
      <w:lvlText w:val="%1"/>
      <w:lvlJc w:val="left"/>
      <w:pPr>
        <w:ind w:left="675" w:hanging="675"/>
      </w:pPr>
      <w:rPr>
        <w:rFonts w:hint="default"/>
      </w:rPr>
    </w:lvl>
    <w:lvl w:ilvl="1">
      <w:start w:val="1"/>
      <w:numFmt w:val="decimal"/>
      <w:lvlText w:val="%1.%2"/>
      <w:lvlJc w:val="left"/>
      <w:pPr>
        <w:ind w:left="675" w:hanging="6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4CBF6ED7"/>
    <w:multiLevelType w:val="multilevel"/>
    <w:tmpl w:val="EB76BBF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4CE362BF"/>
    <w:multiLevelType w:val="hybridMultilevel"/>
    <w:tmpl w:val="9C68F158"/>
    <w:lvl w:ilvl="0" w:tplc="4FCEEAE6">
      <w:start w:val="1"/>
      <w:numFmt w:val="lowerRoman"/>
      <w:lvlText w:val="(%1)"/>
      <w:lvlJc w:val="left"/>
      <w:pPr>
        <w:ind w:left="1287" w:hanging="360"/>
      </w:pPr>
      <w:rPr>
        <w:rFonts w:hint="default"/>
        <w:b/>
        <w:sz w:val="20"/>
        <w:szCs w:val="20"/>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6">
    <w:nsid w:val="5C3F1D62"/>
    <w:multiLevelType w:val="hybridMultilevel"/>
    <w:tmpl w:val="B3122DF8"/>
    <w:lvl w:ilvl="0" w:tplc="FDEE1C1A">
      <w:start w:val="1"/>
      <w:numFmt w:val="decimal"/>
      <w:lvlText w:val="%1."/>
      <w:lvlJc w:val="left"/>
      <w:pPr>
        <w:tabs>
          <w:tab w:val="num" w:pos="454"/>
        </w:tabs>
        <w:ind w:left="454" w:hanging="454"/>
      </w:pPr>
      <w:rPr>
        <w:rFonts w:ascii="Tahoma" w:hAnsi="Tahoma" w:cs="Tahoma" w:hint="default"/>
        <w:b/>
        <w:i w:val="0"/>
        <w:shadow w:val="0"/>
        <w:sz w:val="21"/>
        <w:szCs w:val="21"/>
        <w:u w:color="FFFFFF"/>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5DAE2F2F"/>
    <w:multiLevelType w:val="hybridMultilevel"/>
    <w:tmpl w:val="501C93BE"/>
    <w:lvl w:ilvl="0" w:tplc="5CAE0190">
      <w:start w:val="2"/>
      <w:numFmt w:val="decimal"/>
      <w:lvlText w:val="%1."/>
      <w:lvlJc w:val="left"/>
      <w:pPr>
        <w:tabs>
          <w:tab w:val="num" w:pos="720"/>
        </w:tabs>
        <w:ind w:left="720" w:hanging="360"/>
      </w:pPr>
      <w:rPr>
        <w:rFonts w:hint="default"/>
        <w:b/>
        <w:shadow/>
        <w:sz w:val="21"/>
        <w:szCs w:val="21"/>
      </w:rPr>
    </w:lvl>
    <w:lvl w:ilvl="1" w:tplc="525E55C6">
      <w:start w:val="1"/>
      <w:numFmt w:val="lowerRoman"/>
      <w:lvlText w:val="(%2)"/>
      <w:lvlJc w:val="left"/>
      <w:pPr>
        <w:tabs>
          <w:tab w:val="num" w:pos="1800"/>
        </w:tabs>
        <w:ind w:left="1800" w:hanging="720"/>
      </w:pPr>
      <w:rPr>
        <w:rFonts w:hint="default"/>
        <w:b/>
        <w:shadow/>
      </w:rPr>
    </w:lvl>
    <w:lvl w:ilvl="2" w:tplc="E7986404">
      <w:start w:val="2"/>
      <w:numFmt w:val="bullet"/>
      <w:lvlText w:val="-"/>
      <w:lvlJc w:val="left"/>
      <w:pPr>
        <w:tabs>
          <w:tab w:val="num" w:pos="928"/>
        </w:tabs>
        <w:ind w:left="928" w:hanging="360"/>
      </w:pPr>
      <w:rPr>
        <w:rFonts w:ascii="Bookman Old Style" w:eastAsia="Times New Roman" w:hAnsi="Bookman Old Style" w:cs="Arial" w:hint="default"/>
      </w:rPr>
    </w:lvl>
    <w:lvl w:ilvl="3" w:tplc="87066598">
      <w:start w:val="1"/>
      <w:numFmt w:val="lowerLetter"/>
      <w:lvlText w:val="%4)"/>
      <w:lvlJc w:val="left"/>
      <w:pPr>
        <w:tabs>
          <w:tab w:val="num" w:pos="2880"/>
        </w:tabs>
        <w:ind w:left="2880" w:hanging="360"/>
      </w:pPr>
      <w:rPr>
        <w:rFonts w:hint="default"/>
        <w:b w:val="0"/>
        <w:sz w:val="21"/>
        <w:szCs w:val="21"/>
      </w:rPr>
    </w:lvl>
    <w:lvl w:ilvl="4" w:tplc="0C0A0017">
      <w:start w:val="1"/>
      <w:numFmt w:val="lowerLetter"/>
      <w:lvlText w:val="%5)"/>
      <w:lvlJc w:val="left"/>
      <w:pPr>
        <w:tabs>
          <w:tab w:val="num" w:pos="3600"/>
        </w:tabs>
        <w:ind w:left="3600" w:hanging="360"/>
      </w:pPr>
      <w:rPr>
        <w:rFonts w:hint="default"/>
        <w:b/>
        <w:sz w:val="21"/>
        <w:szCs w:val="21"/>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688334D8"/>
    <w:multiLevelType w:val="hybridMultilevel"/>
    <w:tmpl w:val="236EB15E"/>
    <w:lvl w:ilvl="0" w:tplc="DD0CB504">
      <w:start w:val="1"/>
      <w:numFmt w:val="decimal"/>
      <w:lvlText w:val="%1."/>
      <w:lvlJc w:val="left"/>
      <w:pPr>
        <w:tabs>
          <w:tab w:val="num" w:pos="454"/>
        </w:tabs>
        <w:ind w:left="454" w:hanging="454"/>
      </w:pPr>
      <w:rPr>
        <w:rFonts w:ascii="Tahoma" w:hAnsi="Tahoma" w:cs="Tahoma" w:hint="default"/>
        <w:b/>
        <w:i w:val="0"/>
        <w:shadow w:val="0"/>
        <w:sz w:val="21"/>
        <w:szCs w:val="21"/>
        <w:u w:color="FFFFFF"/>
      </w:rPr>
    </w:lvl>
    <w:lvl w:ilvl="1" w:tplc="D59E9E78">
      <w:start w:val="1"/>
      <w:numFmt w:val="lowerLetter"/>
      <w:lvlText w:val="%2."/>
      <w:lvlJc w:val="left"/>
      <w:pPr>
        <w:tabs>
          <w:tab w:val="num" w:pos="1440"/>
        </w:tabs>
        <w:ind w:left="1440" w:hanging="360"/>
      </w:pPr>
      <w:rPr>
        <w:rFonts w:hint="default"/>
        <w:b/>
        <w:i w:val="0"/>
        <w:shadow w:val="0"/>
        <w:sz w:val="22"/>
        <w:szCs w:val="22"/>
        <w:u w:color="FFFFFF"/>
      </w:rPr>
    </w:lvl>
    <w:lvl w:ilvl="2" w:tplc="0C0A001B">
      <w:start w:val="1"/>
      <w:numFmt w:val="lowerRoman"/>
      <w:lvlText w:val="%3."/>
      <w:lvlJc w:val="right"/>
      <w:pPr>
        <w:tabs>
          <w:tab w:val="num" w:pos="2160"/>
        </w:tabs>
        <w:ind w:left="2160" w:hanging="180"/>
      </w:pPr>
    </w:lvl>
    <w:lvl w:ilvl="3" w:tplc="11961546">
      <w:numFmt w:val="bullet"/>
      <w:lvlText w:val="-"/>
      <w:lvlJc w:val="left"/>
      <w:pPr>
        <w:tabs>
          <w:tab w:val="num" w:pos="2880"/>
        </w:tabs>
        <w:ind w:left="2880" w:hanging="360"/>
      </w:pPr>
      <w:rPr>
        <w:rFonts w:ascii="Tahoma" w:eastAsia="Times New Roman" w:hAnsi="Tahoma" w:cs="Tahoma"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784950CE"/>
    <w:multiLevelType w:val="hybridMultilevel"/>
    <w:tmpl w:val="6638FD64"/>
    <w:lvl w:ilvl="0" w:tplc="434C3B9C">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79627C2F"/>
    <w:multiLevelType w:val="hybridMultilevel"/>
    <w:tmpl w:val="66844368"/>
    <w:lvl w:ilvl="0" w:tplc="0060BA0C">
      <w:start w:val="1"/>
      <w:numFmt w:val="lowerRoman"/>
      <w:lvlText w:val="(%1)"/>
      <w:lvlJc w:val="left"/>
      <w:pPr>
        <w:tabs>
          <w:tab w:val="num" w:pos="869"/>
        </w:tabs>
        <w:ind w:left="869" w:hanging="377"/>
      </w:pPr>
      <w:rPr>
        <w:rFonts w:hint="default"/>
        <w:b/>
        <w:shadow/>
        <w:spacing w:val="4"/>
        <w:kern w:val="16"/>
        <w:position w:val="0"/>
      </w:rPr>
    </w:lvl>
    <w:lvl w:ilvl="1" w:tplc="0C0A0019">
      <w:start w:val="1"/>
      <w:numFmt w:val="lowerLetter"/>
      <w:lvlText w:val="%2."/>
      <w:lvlJc w:val="left"/>
      <w:pPr>
        <w:ind w:left="1572" w:hanging="360"/>
      </w:pPr>
    </w:lvl>
    <w:lvl w:ilvl="2" w:tplc="0C0A001B" w:tentative="1">
      <w:start w:val="1"/>
      <w:numFmt w:val="lowerRoman"/>
      <w:lvlText w:val="%3."/>
      <w:lvlJc w:val="right"/>
      <w:pPr>
        <w:ind w:left="2292" w:hanging="180"/>
      </w:pPr>
    </w:lvl>
    <w:lvl w:ilvl="3" w:tplc="0C0A000F" w:tentative="1">
      <w:start w:val="1"/>
      <w:numFmt w:val="decimal"/>
      <w:lvlText w:val="%4."/>
      <w:lvlJc w:val="left"/>
      <w:pPr>
        <w:ind w:left="3012" w:hanging="360"/>
      </w:pPr>
    </w:lvl>
    <w:lvl w:ilvl="4" w:tplc="0C0A0019" w:tentative="1">
      <w:start w:val="1"/>
      <w:numFmt w:val="lowerLetter"/>
      <w:lvlText w:val="%5."/>
      <w:lvlJc w:val="left"/>
      <w:pPr>
        <w:ind w:left="3732" w:hanging="360"/>
      </w:pPr>
    </w:lvl>
    <w:lvl w:ilvl="5" w:tplc="0C0A001B" w:tentative="1">
      <w:start w:val="1"/>
      <w:numFmt w:val="lowerRoman"/>
      <w:lvlText w:val="%6."/>
      <w:lvlJc w:val="right"/>
      <w:pPr>
        <w:ind w:left="4452" w:hanging="180"/>
      </w:pPr>
    </w:lvl>
    <w:lvl w:ilvl="6" w:tplc="0C0A000F" w:tentative="1">
      <w:start w:val="1"/>
      <w:numFmt w:val="decimal"/>
      <w:lvlText w:val="%7."/>
      <w:lvlJc w:val="left"/>
      <w:pPr>
        <w:ind w:left="5172" w:hanging="360"/>
      </w:pPr>
    </w:lvl>
    <w:lvl w:ilvl="7" w:tplc="0C0A0019" w:tentative="1">
      <w:start w:val="1"/>
      <w:numFmt w:val="lowerLetter"/>
      <w:lvlText w:val="%8."/>
      <w:lvlJc w:val="left"/>
      <w:pPr>
        <w:ind w:left="5892" w:hanging="360"/>
      </w:pPr>
    </w:lvl>
    <w:lvl w:ilvl="8" w:tplc="0C0A001B" w:tentative="1">
      <w:start w:val="1"/>
      <w:numFmt w:val="lowerRoman"/>
      <w:lvlText w:val="%9."/>
      <w:lvlJc w:val="right"/>
      <w:pPr>
        <w:ind w:left="6612" w:hanging="180"/>
      </w:pPr>
    </w:lvl>
  </w:abstractNum>
  <w:num w:numId="1">
    <w:abstractNumId w:val="7"/>
  </w:num>
  <w:num w:numId="2">
    <w:abstractNumId w:val="9"/>
  </w:num>
  <w:num w:numId="3">
    <w:abstractNumId w:val="10"/>
  </w:num>
  <w:num w:numId="4">
    <w:abstractNumId w:val="2"/>
  </w:num>
  <w:num w:numId="5">
    <w:abstractNumId w:val="0"/>
  </w:num>
  <w:num w:numId="6">
    <w:abstractNumId w:val="1"/>
  </w:num>
  <w:num w:numId="7">
    <w:abstractNumId w:val="5"/>
  </w:num>
  <w:num w:numId="8">
    <w:abstractNumId w:val="4"/>
  </w:num>
  <w:num w:numId="9">
    <w:abstractNumId w:val="3"/>
  </w:num>
  <w:num w:numId="10">
    <w:abstractNumId w:val="8"/>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EE792B"/>
    <w:rsid w:val="0020585F"/>
    <w:rsid w:val="0056657A"/>
    <w:rsid w:val="00605FD4"/>
    <w:rsid w:val="00746966"/>
    <w:rsid w:val="00892BB1"/>
    <w:rsid w:val="00C507D2"/>
    <w:rsid w:val="00CC0043"/>
    <w:rsid w:val="00EE792B"/>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BB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basedOn w:val="Fuentedeprrafopredeter"/>
    <w:rsid w:val="00EE792B"/>
    <w:rPr>
      <w:vertAlign w:val="superscript"/>
    </w:rPr>
  </w:style>
  <w:style w:type="paragraph" w:styleId="Textonotapie">
    <w:name w:val="footnote text"/>
    <w:aliases w:val=" Car,Car, Car4,Car Car Car, Car1 Car Car,Car1 Car Car"/>
    <w:basedOn w:val="Normal"/>
    <w:link w:val="TextonotapieCar"/>
    <w:semiHidden/>
    <w:rsid w:val="00EE792B"/>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 Car Car,Car Car, Car4 Car,Car Car Car Car, Car1 Car Car Car,Car1 Car Car Car"/>
    <w:basedOn w:val="Fuentedeprrafopredeter"/>
    <w:link w:val="Textonotapie"/>
    <w:semiHidden/>
    <w:rsid w:val="00EE792B"/>
    <w:rPr>
      <w:rFonts w:ascii="Times New Roman" w:eastAsia="Times New Roman" w:hAnsi="Times New Roman" w:cs="Times New Roman"/>
      <w:sz w:val="20"/>
      <w:szCs w:val="20"/>
      <w:lang w:val="es-ES" w:eastAsia="es-ES"/>
    </w:rPr>
  </w:style>
  <w:style w:type="table" w:styleId="Tablaconcuadrcula">
    <w:name w:val="Table Grid"/>
    <w:basedOn w:val="Tablanormal"/>
    <w:uiPriority w:val="59"/>
    <w:rsid w:val="00EE79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74696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46966"/>
    <w:rPr>
      <w:rFonts w:ascii="Tahoma" w:hAnsi="Tahoma" w:cs="Tahoma"/>
      <w:sz w:val="16"/>
      <w:szCs w:val="16"/>
    </w:rPr>
  </w:style>
  <w:style w:type="paragraph" w:styleId="Encabezado">
    <w:name w:val="header"/>
    <w:aliases w:val="maria,h"/>
    <w:basedOn w:val="Normal"/>
    <w:link w:val="EncabezadoCar"/>
    <w:uiPriority w:val="99"/>
    <w:semiHidden/>
    <w:unhideWhenUsed/>
    <w:rsid w:val="00C507D2"/>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C507D2"/>
  </w:style>
  <w:style w:type="paragraph" w:styleId="Piedepgina">
    <w:name w:val="footer"/>
    <w:basedOn w:val="Normal"/>
    <w:link w:val="PiedepginaCar"/>
    <w:uiPriority w:val="99"/>
    <w:semiHidden/>
    <w:unhideWhenUsed/>
    <w:rsid w:val="00C507D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C507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basedOn w:val="Fuentedeprrafopredeter"/>
    <w:rsid w:val="00EE792B"/>
    <w:rPr>
      <w:vertAlign w:val="superscript"/>
    </w:rPr>
  </w:style>
  <w:style w:type="paragraph" w:styleId="Textonotapie">
    <w:name w:val="footnote text"/>
    <w:aliases w:val=" Car,Car, Car4,Car Car Car, Car1 Car Car,Car1 Car Car"/>
    <w:basedOn w:val="Normal"/>
    <w:link w:val="TextonotapieCar"/>
    <w:semiHidden/>
    <w:rsid w:val="00EE792B"/>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semiHidden/>
    <w:rsid w:val="00EE792B"/>
    <w:rPr>
      <w:rFonts w:ascii="Times New Roman" w:eastAsia="Times New Roman" w:hAnsi="Times New Roman" w:cs="Times New Roman"/>
      <w:sz w:val="20"/>
      <w:szCs w:val="20"/>
      <w:lang w:val="es-ES" w:eastAsia="es-ES"/>
    </w:rPr>
  </w:style>
  <w:style w:type="table" w:styleId="Tablaconcuadrcula">
    <w:name w:val="Table Grid"/>
    <w:basedOn w:val="Tablanormal"/>
    <w:uiPriority w:val="59"/>
    <w:rsid w:val="00EE79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74696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4696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30854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8</Pages>
  <Words>2522</Words>
  <Characters>13873</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del Carmen Negreiros Andrade</dc:creator>
  <cp:lastModifiedBy>bcaceres</cp:lastModifiedBy>
  <cp:revision>2</cp:revision>
  <cp:lastPrinted>2011-09-14T15:44:00Z</cp:lastPrinted>
  <dcterms:created xsi:type="dcterms:W3CDTF">2011-09-14T13:50:00Z</dcterms:created>
  <dcterms:modified xsi:type="dcterms:W3CDTF">2011-10-05T15:05:00Z</dcterms:modified>
</cp:coreProperties>
</file>